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C35F8">
      <w:pPr>
        <w:rPr>
          <w:rFonts w:ascii="Times New Roman" w:hAnsi="Times New Roman" w:cs="Times New Roman"/>
          <w:bCs/>
          <w:sz w:val="22"/>
          <w:szCs w:val="24"/>
        </w:rPr>
      </w:pPr>
      <w:r>
        <w:rPr>
          <w:rFonts w:ascii="Times New Roman" w:hAnsi="Times New Roman" w:cs="Times New Roman"/>
          <w:bCs/>
          <w:sz w:val="22"/>
          <w:szCs w:val="24"/>
        </w:rPr>
        <w:t>Stock Code: 603799    Stock Name: Huayou Cobalt     Announcement No.: 2026-0</w:t>
      </w:r>
      <w:r>
        <w:rPr>
          <w:rFonts w:hint="eastAsia" w:ascii="Times New Roman" w:hAnsi="Times New Roman" w:cs="Times New Roman"/>
          <w:bCs/>
          <w:sz w:val="22"/>
          <w:szCs w:val="24"/>
        </w:rPr>
        <w:t>84</w:t>
      </w:r>
    </w:p>
    <w:p w14:paraId="587F7689">
      <w:pPr>
        <w:jc w:val="right"/>
        <w:rPr>
          <w:rFonts w:ascii="Times New Roman" w:hAnsi="Times New Roman" w:cs="Times New Roman"/>
          <w:b/>
          <w:sz w:val="24"/>
          <w:szCs w:val="24"/>
        </w:rPr>
      </w:pPr>
    </w:p>
    <w:p w14:paraId="3C54935D">
      <w:pPr>
        <w:jc w:val="center"/>
        <w:rPr>
          <w:rFonts w:ascii="Times New Roman" w:hAnsi="Times New Roman" w:eastAsia="黑体" w:cs="Times New Roman"/>
          <w:b/>
          <w:sz w:val="36"/>
          <w:szCs w:val="36"/>
        </w:rPr>
      </w:pPr>
    </w:p>
    <w:p w14:paraId="24B80E8E">
      <w:pPr>
        <w:adjustRightInd w:val="0"/>
        <w:snapToGrid w:val="0"/>
        <w:spacing w:line="360" w:lineRule="auto"/>
        <w:jc w:val="center"/>
        <w:rPr>
          <w:rFonts w:ascii="Times New Roman" w:hAnsi="Times New Roman" w:eastAsia="黑体" w:cs="Times New Roman"/>
          <w:b/>
          <w:color w:val="FF0000"/>
          <w:sz w:val="36"/>
          <w:szCs w:val="24"/>
        </w:rPr>
      </w:pPr>
      <w:r>
        <w:rPr>
          <w:rFonts w:ascii="Times New Roman" w:hAnsi="Times New Roman" w:eastAsia="黑体" w:cs="Times New Roman"/>
          <w:b/>
          <w:color w:val="FF0000"/>
          <w:sz w:val="36"/>
          <w:szCs w:val="24"/>
        </w:rPr>
        <w:t>Zhejiang Huayou Cobalt Co., Ltd.</w:t>
      </w:r>
    </w:p>
    <w:p w14:paraId="413BB2F7">
      <w:pPr>
        <w:adjustRightInd w:val="0"/>
        <w:snapToGrid w:val="0"/>
        <w:spacing w:line="360" w:lineRule="auto"/>
        <w:jc w:val="center"/>
        <w:rPr>
          <w:rFonts w:ascii="Times New Roman" w:hAnsi="Times New Roman" w:eastAsia="黑体" w:cs="Times New Roman"/>
          <w:b/>
          <w:color w:val="FF0000"/>
          <w:sz w:val="36"/>
          <w:szCs w:val="24"/>
        </w:rPr>
      </w:pPr>
      <w:r>
        <w:rPr>
          <w:rFonts w:ascii="Times New Roman" w:hAnsi="Times New Roman" w:eastAsia="黑体" w:cs="Times New Roman"/>
          <w:b/>
          <w:color w:val="FF0000"/>
          <w:sz w:val="36"/>
          <w:szCs w:val="24"/>
        </w:rPr>
        <w:t>Announcement on Subsidiary's Assumption of Relevant Rights and Obligations &amp; Progress of Company’s Acquisition of Shares in Atlantic Lithium Limited</w:t>
      </w:r>
    </w:p>
    <w:p w14:paraId="78F27941">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ascii="Times New Roman" w:hAnsi="Times New Roman" w:cs="Times New Roman"/>
          <w:color w:val="000000"/>
          <w:sz w:val="24"/>
          <w:szCs w:val="24"/>
        </w:rPr>
      </w:pPr>
      <w:r>
        <w:rPr>
          <w:rFonts w:ascii="Times New Roman" w:hAnsi="Times New Roman" w:cs="Times New Roman"/>
          <w:color w:val="000000"/>
          <w:kern w:val="0"/>
          <w:sz w:val="24"/>
          <w:szCs w:val="24"/>
        </w:rPr>
        <w:t>The Board of Directors and all directors of the Company warrant that there is no false representation, misleading statement or material omissions herein, and will assume joint and several liabilities with respect to the truthfulness, accuracy and completeness hereof.</w:t>
      </w:r>
    </w:p>
    <w:p w14:paraId="2E871D7D">
      <w:pPr>
        <w:widowControl/>
        <w:adjustRightInd w:val="0"/>
        <w:snapToGrid w:val="0"/>
        <w:spacing w:line="560" w:lineRule="exact"/>
        <w:ind w:firstLine="600"/>
        <w:jc w:val="right"/>
        <w:rPr>
          <w:rFonts w:ascii="Times New Roman" w:hAnsi="Times New Roman" w:cs="Times New Roman"/>
          <w:sz w:val="24"/>
          <w:szCs w:val="24"/>
        </w:rPr>
      </w:pPr>
    </w:p>
    <w:p w14:paraId="7B4D8D68">
      <w:pPr>
        <w:widowControl/>
        <w:adjustRightInd w:val="0"/>
        <w:snapToGrid w:val="0"/>
        <w:spacing w:before="156" w:beforeLines="50" w:after="156" w:afterLines="50" w:line="360" w:lineRule="auto"/>
        <w:ind w:firstLine="562" w:firstLineChars="200"/>
        <w:outlineLvl w:val="0"/>
        <w:rPr>
          <w:rFonts w:ascii="Times New Roman" w:hAnsi="Times New Roman" w:cs="Times New Roman"/>
          <w:b/>
          <w:bCs/>
          <w:sz w:val="28"/>
          <w:szCs w:val="28"/>
        </w:rPr>
      </w:pPr>
      <w:r>
        <w:rPr>
          <w:rFonts w:hint="eastAsia" w:ascii="Times New Roman" w:hAnsi="Times New Roman" w:cs="Times New Roman"/>
          <w:b/>
          <w:bCs/>
          <w:sz w:val="28"/>
          <w:szCs w:val="28"/>
        </w:rPr>
        <w:t xml:space="preserve">I. </w:t>
      </w:r>
      <w:r>
        <w:rPr>
          <w:rFonts w:ascii="Times New Roman" w:hAnsi="Times New Roman" w:cs="Times New Roman"/>
          <w:b/>
          <w:bCs/>
          <w:sz w:val="28"/>
          <w:szCs w:val="28"/>
        </w:rPr>
        <w:t>Transaction Overview</w:t>
      </w:r>
    </w:p>
    <w:p w14:paraId="5E185FA0">
      <w:pPr>
        <w:widowControl/>
        <w:adjustRightInd w:val="0"/>
        <w:snapToGrid w:val="0"/>
        <w:spacing w:before="156" w:beforeLines="50" w:after="156" w:afterLines="50" w:line="360" w:lineRule="auto"/>
        <w:ind w:firstLine="480" w:firstLineChars="200"/>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On May 7, 2026</w:t>
      </w:r>
      <w:r>
        <w:rPr>
          <w:rFonts w:ascii="Times New Roman" w:hAnsi="Times New Roman" w:cs="Times New Roman"/>
          <w:color w:val="000000"/>
          <w:kern w:val="0"/>
          <w:sz w:val="24"/>
          <w:szCs w:val="24"/>
        </w:rPr>
        <w:t xml:space="preserve">, Zhejiang Huayou Cobalt Co., Ltd. (the “Company”) entered into a </w:t>
      </w:r>
      <w:r>
        <w:rPr>
          <w:rFonts w:ascii="Times New Roman" w:hAnsi="Times New Roman" w:cs="Times New Roman"/>
          <w:i/>
          <w:color w:val="000000"/>
          <w:kern w:val="0"/>
          <w:sz w:val="24"/>
          <w:szCs w:val="24"/>
        </w:rPr>
        <w:t>Scheme Implementation Deed</w:t>
      </w:r>
      <w:r>
        <w:rPr>
          <w:rFonts w:ascii="Times New Roman" w:hAnsi="Times New Roman" w:cs="Times New Roman"/>
          <w:color w:val="000000"/>
          <w:kern w:val="0"/>
          <w:sz w:val="24"/>
          <w:szCs w:val="24"/>
        </w:rPr>
        <w:t xml:space="preserve"> and relevant appendices with Atlantic Lithium Limited, under which the Company intends to acquire 100% of the shares issued or to be issued by Atlantic Lithium. The consideration for this acquisition of the 100% of the shares in Atlantic Lithium is USD 210,000,000 (exclusive of capital gains tax) and the final purchase price will be determined based on the capital gains tax charged by the Ghana Revenue Authority (“GRA”). After the completion of the Transaction, the Company will acquire 100% of the shares in Atlantic Lithium, and the performance of Atlantic Lithium will be consolidated into the Company’s financial statements. For details, please refer to Announcement on the Proposed Acquisition of the Shares in Atlantic Lithium Limited of the Company (Announcement No.: 2026-044)</w:t>
      </w:r>
    </w:p>
    <w:p w14:paraId="392781DC">
      <w:pPr>
        <w:widowControl/>
        <w:adjustRightInd w:val="0"/>
        <w:snapToGrid w:val="0"/>
        <w:spacing w:before="156" w:beforeLines="50" w:after="156" w:afterLines="50" w:line="360" w:lineRule="auto"/>
        <w:ind w:firstLine="480" w:firstLineChars="20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To assume the rights, interests and liabilities associated with the Ewoyaa Lithium Project, the Company and its subsidiary Huayou (Hong Kong) Limited ("Huayou (Hong Kong)") entered into a </w:t>
      </w:r>
      <w:r>
        <w:rPr>
          <w:rFonts w:ascii="Times New Roman" w:hAnsi="Times New Roman" w:cs="Times New Roman"/>
          <w:i/>
          <w:color w:val="000000"/>
          <w:kern w:val="0"/>
          <w:sz w:val="24"/>
          <w:szCs w:val="24"/>
        </w:rPr>
        <w:t>Novation Deed</w:t>
      </w:r>
      <w:r>
        <w:rPr>
          <w:rFonts w:ascii="Times New Roman" w:hAnsi="Times New Roman" w:cs="Times New Roman"/>
          <w:color w:val="000000"/>
          <w:kern w:val="0"/>
          <w:sz w:val="24"/>
          <w:szCs w:val="24"/>
        </w:rPr>
        <w:t xml:space="preserve"> with Piedmont and its parent company Piedmont Lithium Inc., Atlantic Lithium and its Singapore </w:t>
      </w:r>
      <w:r>
        <w:rPr>
          <w:rFonts w:hint="eastAsia" w:ascii="Times New Roman" w:hAnsi="Times New Roman" w:cs="Times New Roman"/>
          <w:color w:val="000000"/>
          <w:kern w:val="0"/>
          <w:sz w:val="24"/>
          <w:szCs w:val="24"/>
        </w:rPr>
        <w:t>s</w:t>
      </w:r>
      <w:r>
        <w:rPr>
          <w:rFonts w:ascii="Times New Roman" w:hAnsi="Times New Roman" w:cs="Times New Roman"/>
          <w:color w:val="000000"/>
          <w:kern w:val="0"/>
          <w:sz w:val="24"/>
          <w:szCs w:val="24"/>
        </w:rPr>
        <w:t xml:space="preserve">ubsidiaries namely IRRS, Charger and Moda on May 10, 2026, under which all parties agree that the Company and its subsidiary Huayou (Hong Kong) shall acquire all rights and obligations of Piedmont and its parent company Piedmont Lithium Inc. under various contracts with Atlantic Lithium's Singapore </w:t>
      </w:r>
      <w:bookmarkStart w:id="0" w:name="OLE_LINK55"/>
      <w:r>
        <w:rPr>
          <w:rFonts w:hint="eastAsia" w:ascii="Times New Roman" w:hAnsi="Times New Roman" w:cs="Times New Roman"/>
          <w:color w:val="000000"/>
          <w:kern w:val="0"/>
          <w:sz w:val="24"/>
          <w:szCs w:val="24"/>
        </w:rPr>
        <w:t>s</w:t>
      </w:r>
      <w:r>
        <w:rPr>
          <w:rFonts w:ascii="Times New Roman" w:hAnsi="Times New Roman" w:cs="Times New Roman"/>
          <w:color w:val="000000"/>
          <w:kern w:val="0"/>
          <w:sz w:val="24"/>
          <w:szCs w:val="24"/>
        </w:rPr>
        <w:t>ubsidiaries</w:t>
      </w:r>
      <w:bookmarkEnd w:id="0"/>
      <w:r>
        <w:rPr>
          <w:rFonts w:ascii="Times New Roman" w:hAnsi="Times New Roman" w:cs="Times New Roman"/>
          <w:color w:val="000000"/>
          <w:kern w:val="0"/>
          <w:sz w:val="24"/>
          <w:szCs w:val="24"/>
        </w:rPr>
        <w:t xml:space="preserve"> (the "Transaction")</w:t>
      </w:r>
      <w:r>
        <w:t xml:space="preserve"> </w:t>
      </w:r>
      <w:bookmarkStart w:id="1" w:name="OLE_LINK57"/>
      <w:bookmarkStart w:id="2" w:name="OLE_LINK56"/>
      <w:r>
        <w:rPr>
          <w:rFonts w:ascii="Times New Roman" w:hAnsi="Times New Roman" w:cs="Times New Roman"/>
          <w:color w:val="000000"/>
          <w:kern w:val="0"/>
          <w:sz w:val="24"/>
          <w:szCs w:val="24"/>
        </w:rPr>
        <w:t>at the consideration of USD 70.90 million</w:t>
      </w:r>
      <w:bookmarkEnd w:id="1"/>
      <w:bookmarkEnd w:id="2"/>
      <w:r>
        <w:rPr>
          <w:rFonts w:ascii="Times New Roman" w:hAnsi="Times New Roman" w:cs="Times New Roman"/>
          <w:color w:val="000000"/>
          <w:kern w:val="0"/>
          <w:sz w:val="24"/>
          <w:szCs w:val="24"/>
        </w:rPr>
        <w:t xml:space="preserve">. For details, please refer to the </w:t>
      </w:r>
      <w:r>
        <w:rPr>
          <w:rFonts w:ascii="Times New Roman" w:hAnsi="Times New Roman" w:cs="Times New Roman"/>
          <w:i/>
          <w:color w:val="000000"/>
          <w:kern w:val="0"/>
          <w:sz w:val="24"/>
          <w:szCs w:val="24"/>
        </w:rPr>
        <w:t>Announcement on Subsidiary's Assumption of Relevant Rights and Obligations &amp; Progress of Company’s Acquisition of Shares in Atlantic Lithium Limited</w:t>
      </w:r>
      <w:r>
        <w:rPr>
          <w:rFonts w:ascii="Times New Roman" w:hAnsi="Times New Roman" w:cs="Times New Roman"/>
          <w:color w:val="000000"/>
          <w:kern w:val="0"/>
          <w:sz w:val="24"/>
          <w:szCs w:val="24"/>
        </w:rPr>
        <w:t xml:space="preserve"> (Announcement No.: 2026-045).</w:t>
      </w:r>
    </w:p>
    <w:p w14:paraId="62BEF254">
      <w:pPr>
        <w:widowControl/>
        <w:adjustRightInd w:val="0"/>
        <w:snapToGrid w:val="0"/>
        <w:spacing w:before="156" w:beforeLines="50" w:after="156" w:afterLines="50" w:line="360" w:lineRule="auto"/>
        <w:ind w:firstLine="562" w:firstLineChars="200"/>
        <w:outlineLvl w:val="0"/>
        <w:rPr>
          <w:rFonts w:ascii="Times New Roman" w:hAnsi="Times New Roman" w:cs="Times New Roman"/>
          <w:b/>
          <w:bCs/>
          <w:sz w:val="28"/>
          <w:szCs w:val="28"/>
        </w:rPr>
      </w:pPr>
      <w:r>
        <w:rPr>
          <w:rFonts w:hint="eastAsia" w:ascii="Times New Roman" w:hAnsi="Times New Roman" w:cs="Times New Roman"/>
          <w:b/>
          <w:bCs/>
          <w:sz w:val="28"/>
          <w:szCs w:val="28"/>
        </w:rPr>
        <w:t>II. Transaction Progress</w:t>
      </w:r>
    </w:p>
    <w:p w14:paraId="08122093">
      <w:pPr>
        <w:widowControl/>
        <w:adjustRightInd w:val="0"/>
        <w:snapToGrid w:val="0"/>
        <w:spacing w:before="156" w:beforeLines="50" w:after="156" w:afterLines="50" w:line="360" w:lineRule="auto"/>
        <w:ind w:firstLine="480" w:firstLineChars="20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Recently, all conditions for </w:t>
      </w:r>
      <w:bookmarkStart w:id="3" w:name="OLE_LINK58"/>
      <w:bookmarkStart w:id="4" w:name="OLE_LINK59"/>
      <w:r>
        <w:rPr>
          <w:rFonts w:ascii="Times New Roman" w:hAnsi="Times New Roman" w:cs="Times New Roman"/>
          <w:color w:val="000000"/>
          <w:kern w:val="0"/>
          <w:sz w:val="24"/>
          <w:szCs w:val="24"/>
        </w:rPr>
        <w:t xml:space="preserve">the Company and its subsidiary Huayou (Hong Kong) </w:t>
      </w:r>
      <w:bookmarkEnd w:id="3"/>
      <w:bookmarkEnd w:id="4"/>
      <w:r>
        <w:rPr>
          <w:rFonts w:ascii="Times New Roman" w:hAnsi="Times New Roman" w:cs="Times New Roman"/>
          <w:color w:val="000000"/>
          <w:kern w:val="0"/>
          <w:sz w:val="24"/>
          <w:szCs w:val="24"/>
        </w:rPr>
        <w:t xml:space="preserve">to </w:t>
      </w:r>
      <w:r>
        <w:rPr>
          <w:rFonts w:hint="eastAsia" w:ascii="Times New Roman" w:hAnsi="Times New Roman" w:cs="Times New Roman"/>
          <w:color w:val="000000"/>
          <w:kern w:val="0"/>
          <w:sz w:val="24"/>
          <w:szCs w:val="24"/>
        </w:rPr>
        <w:t>acquire</w:t>
      </w:r>
      <w:r>
        <w:rPr>
          <w:rFonts w:ascii="Times New Roman" w:hAnsi="Times New Roman" w:cs="Times New Roman"/>
          <w:color w:val="000000"/>
          <w:kern w:val="0"/>
          <w:sz w:val="24"/>
          <w:szCs w:val="24"/>
        </w:rPr>
        <w:t xml:space="preserve"> all rights and obligations of Piedmont and its parent company Piedmont Lithium Inc.</w:t>
      </w:r>
      <w:r>
        <w:rPr>
          <w:rFonts w:hint="eastAsia"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 xml:space="preserve">under the respective contracts </w:t>
      </w:r>
      <w:r>
        <w:rPr>
          <w:rFonts w:hint="eastAsia" w:ascii="Times New Roman" w:hAnsi="Times New Roman" w:cs="Times New Roman"/>
          <w:color w:val="000000"/>
          <w:kern w:val="0"/>
          <w:sz w:val="24"/>
          <w:szCs w:val="24"/>
        </w:rPr>
        <w:t>with</w:t>
      </w:r>
      <w:r>
        <w:rPr>
          <w:rFonts w:ascii="Times New Roman" w:hAnsi="Times New Roman" w:cs="Times New Roman"/>
          <w:color w:val="000000"/>
          <w:kern w:val="0"/>
          <w:sz w:val="24"/>
          <w:szCs w:val="24"/>
        </w:rPr>
        <w:t xml:space="preserve"> Atlantic Lithium</w:t>
      </w:r>
      <w:r>
        <w:rPr>
          <w:rFonts w:hint="eastAsia" w:ascii="Times New Roman" w:hAnsi="Times New Roman" w:cs="Times New Roman"/>
          <w:color w:val="000000"/>
          <w:kern w:val="0"/>
          <w:sz w:val="24"/>
          <w:szCs w:val="24"/>
        </w:rPr>
        <w:t xml:space="preserve"> and its</w:t>
      </w:r>
      <w:r>
        <w:rPr>
          <w:rFonts w:ascii="Times New Roman" w:hAnsi="Times New Roman" w:cs="Times New Roman"/>
          <w:color w:val="000000"/>
          <w:kern w:val="0"/>
          <w:sz w:val="24"/>
          <w:szCs w:val="24"/>
        </w:rPr>
        <w:t xml:space="preserve"> Singapore </w:t>
      </w:r>
      <w:r>
        <w:rPr>
          <w:rFonts w:hint="eastAsia" w:ascii="Times New Roman" w:hAnsi="Times New Roman" w:cs="Times New Roman"/>
          <w:color w:val="000000"/>
          <w:kern w:val="0"/>
          <w:sz w:val="24"/>
          <w:szCs w:val="24"/>
        </w:rPr>
        <w:t>s</w:t>
      </w:r>
      <w:r>
        <w:rPr>
          <w:rFonts w:ascii="Times New Roman" w:hAnsi="Times New Roman" w:cs="Times New Roman"/>
          <w:color w:val="000000"/>
          <w:kern w:val="0"/>
          <w:sz w:val="24"/>
          <w:szCs w:val="24"/>
        </w:rPr>
        <w:t>ubsidiaries at the consideration of USD 70.90 million were satisfied, and the closing was completed.</w:t>
      </w:r>
      <w:r>
        <w:t xml:space="preserve"> </w:t>
      </w:r>
    </w:p>
    <w:p w14:paraId="1EC61B42">
      <w:pPr>
        <w:widowControl/>
        <w:adjustRightInd w:val="0"/>
        <w:snapToGrid w:val="0"/>
        <w:spacing w:before="156" w:beforeLines="50" w:after="156" w:afterLines="50" w:line="360" w:lineRule="auto"/>
        <w:ind w:firstLine="480" w:firstLineChars="200"/>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 xml:space="preserve">After the completion of the closing, </w:t>
      </w:r>
      <w:r>
        <w:rPr>
          <w:rFonts w:ascii="Times New Roman" w:hAnsi="Times New Roman" w:cs="Times New Roman"/>
          <w:color w:val="000000"/>
          <w:kern w:val="0"/>
          <w:sz w:val="24"/>
          <w:szCs w:val="24"/>
        </w:rPr>
        <w:t>the Company and its subsidiary Huayou (Hong Kong) acquire</w:t>
      </w:r>
      <w:r>
        <w:rPr>
          <w:rFonts w:hint="eastAsia" w:ascii="Times New Roman" w:hAnsi="Times New Roman" w:cs="Times New Roman"/>
          <w:color w:val="000000"/>
          <w:kern w:val="0"/>
          <w:sz w:val="24"/>
          <w:szCs w:val="24"/>
        </w:rPr>
        <w:t>d</w:t>
      </w:r>
      <w:r>
        <w:rPr>
          <w:rFonts w:ascii="Times New Roman" w:hAnsi="Times New Roman" w:cs="Times New Roman"/>
          <w:color w:val="000000"/>
          <w:kern w:val="0"/>
          <w:sz w:val="24"/>
          <w:szCs w:val="24"/>
        </w:rPr>
        <w:t xml:space="preserve"> all rights and obligations of Piedmont and its parent company Piedmont Lithium Inc. under the Ghana Project Agreement, the Shareholders’ Agreement and the Exclusive Sales Agreement entered into by Piedmont, Atlantic Lithium and its Singapore </w:t>
      </w:r>
      <w:r>
        <w:rPr>
          <w:rFonts w:hint="eastAsia" w:ascii="Times New Roman" w:hAnsi="Times New Roman" w:cs="Times New Roman"/>
          <w:color w:val="000000"/>
          <w:kern w:val="0"/>
          <w:sz w:val="24"/>
          <w:szCs w:val="24"/>
        </w:rPr>
        <w:t>s</w:t>
      </w:r>
      <w:r>
        <w:rPr>
          <w:rFonts w:ascii="Times New Roman" w:hAnsi="Times New Roman" w:cs="Times New Roman"/>
          <w:color w:val="000000"/>
          <w:kern w:val="0"/>
          <w:sz w:val="24"/>
          <w:szCs w:val="24"/>
        </w:rPr>
        <w:t>ubsidiaries</w:t>
      </w:r>
      <w:r>
        <w:rPr>
          <w:rFonts w:hint="eastAsia" w:ascii="Times New Roman" w:hAnsi="Times New Roman" w:cs="Times New Roman"/>
          <w:color w:val="000000"/>
          <w:kern w:val="0"/>
          <w:sz w:val="24"/>
          <w:szCs w:val="24"/>
        </w:rPr>
        <w:t xml:space="preserve"> (collectively, the "JV Agreements")</w:t>
      </w:r>
      <w:r>
        <w:rPr>
          <w:rFonts w:ascii="Times New Roman" w:hAnsi="Times New Roman" w:cs="Times New Roman"/>
          <w:color w:val="000000"/>
          <w:kern w:val="0"/>
          <w:sz w:val="24"/>
          <w:szCs w:val="24"/>
        </w:rPr>
        <w:t xml:space="preserve">. The main contents of such rights and obligations are as follows: 1. the right to acquire 22.5% shares in the Singapore Subsidiaries; </w:t>
      </w:r>
      <w:r>
        <w:rPr>
          <w:rFonts w:hint="eastAsia" w:ascii="Times New Roman" w:hAnsi="Times New Roman" w:cs="Times New Roman"/>
          <w:color w:val="000000"/>
          <w:kern w:val="0"/>
          <w:sz w:val="24"/>
          <w:szCs w:val="24"/>
        </w:rPr>
        <w:t xml:space="preserve">2. </w:t>
      </w:r>
      <w:r>
        <w:rPr>
          <w:rFonts w:ascii="Times New Roman" w:hAnsi="Times New Roman" w:cs="Times New Roman"/>
          <w:color w:val="000000"/>
          <w:kern w:val="0"/>
          <w:sz w:val="24"/>
          <w:szCs w:val="24"/>
        </w:rPr>
        <w:t xml:space="preserve">the right to appoint 3 of the 6 </w:t>
      </w:r>
      <w:r>
        <w:rPr>
          <w:rFonts w:hint="eastAsia" w:ascii="Times New Roman" w:hAnsi="Times New Roman" w:cs="Times New Roman"/>
          <w:color w:val="000000"/>
          <w:kern w:val="0"/>
          <w:sz w:val="24"/>
          <w:szCs w:val="24"/>
        </w:rPr>
        <w:t>members</w:t>
      </w:r>
      <w:r>
        <w:rPr>
          <w:rFonts w:ascii="Times New Roman" w:hAnsi="Times New Roman" w:cs="Times New Roman"/>
          <w:color w:val="000000"/>
          <w:kern w:val="0"/>
          <w:sz w:val="24"/>
          <w:szCs w:val="24"/>
        </w:rPr>
        <w:t xml:space="preserve"> of the Singapore Subsidiaries and the Project Company, and 3 of the 6 members of the Technical Committee, with </w:t>
      </w:r>
      <w:r>
        <w:rPr>
          <w:rFonts w:hint="eastAsia" w:ascii="Times New Roman" w:hAnsi="Times New Roman" w:cs="Times New Roman"/>
          <w:color w:val="000000"/>
          <w:kern w:val="0"/>
          <w:sz w:val="24"/>
          <w:szCs w:val="24"/>
        </w:rPr>
        <w:t xml:space="preserve">the </w:t>
      </w:r>
      <w:r>
        <w:rPr>
          <w:rFonts w:ascii="Times New Roman" w:hAnsi="Times New Roman" w:cs="Times New Roman"/>
          <w:color w:val="000000"/>
          <w:kern w:val="0"/>
          <w:sz w:val="24"/>
          <w:szCs w:val="24"/>
        </w:rPr>
        <w:t>corresponding voting rights</w:t>
      </w:r>
      <w:r>
        <w:rPr>
          <w:rFonts w:hint="eastAsia" w:ascii="Times New Roman" w:hAnsi="Times New Roman" w:cs="Times New Roman"/>
          <w:color w:val="000000"/>
          <w:kern w:val="0"/>
          <w:sz w:val="24"/>
          <w:szCs w:val="24"/>
        </w:rPr>
        <w:t>; 3</w:t>
      </w:r>
      <w:r>
        <w:rPr>
          <w:rFonts w:ascii="Times New Roman" w:hAnsi="Times New Roman" w:cs="Times New Roman"/>
          <w:color w:val="000000"/>
          <w:kern w:val="0"/>
          <w:sz w:val="24"/>
          <w:szCs w:val="24"/>
        </w:rPr>
        <w:t>. the right to exclusively sell no less than 50% of products from the Ewoyaa Lithium Project upon satisfaction of agreed conditions;</w:t>
      </w:r>
      <w:r>
        <w:t xml:space="preserve"> </w:t>
      </w:r>
      <w:r>
        <w:rPr>
          <w:rFonts w:ascii="Times New Roman" w:hAnsi="Times New Roman" w:cs="Times New Roman"/>
          <w:color w:val="000000"/>
          <w:kern w:val="0"/>
          <w:sz w:val="24"/>
          <w:szCs w:val="24"/>
        </w:rPr>
        <w:t xml:space="preserve">4. subject to the JV Agreements and obtaining necessary approvals, and </w:t>
      </w:r>
      <w:r>
        <w:rPr>
          <w:rFonts w:hint="eastAsia" w:ascii="Times New Roman" w:hAnsi="Times New Roman" w:cs="Times New Roman"/>
          <w:color w:val="000000"/>
          <w:kern w:val="0"/>
          <w:sz w:val="24"/>
          <w:szCs w:val="24"/>
        </w:rPr>
        <w:t>an</w:t>
      </w:r>
      <w:r>
        <w:rPr>
          <w:rFonts w:ascii="Times New Roman" w:hAnsi="Times New Roman" w:cs="Times New Roman"/>
          <w:color w:val="000000"/>
          <w:kern w:val="0"/>
          <w:sz w:val="24"/>
          <w:szCs w:val="24"/>
        </w:rPr>
        <w:t xml:space="preserve"> agreement reached on the use of funds, the Company and its subsidiaries may gradually invest funds of USD 65.89 million </w:t>
      </w:r>
      <w:r>
        <w:rPr>
          <w:rFonts w:hint="eastAsia" w:ascii="Times New Roman" w:hAnsi="Times New Roman" w:cs="Times New Roman"/>
          <w:color w:val="000000"/>
          <w:kern w:val="0"/>
          <w:sz w:val="24"/>
          <w:szCs w:val="24"/>
        </w:rPr>
        <w:t xml:space="preserve">for </w:t>
      </w:r>
      <w:r>
        <w:rPr>
          <w:rFonts w:ascii="Times New Roman" w:hAnsi="Times New Roman" w:cs="Times New Roman"/>
          <w:color w:val="000000"/>
          <w:kern w:val="0"/>
          <w:sz w:val="24"/>
          <w:szCs w:val="24"/>
        </w:rPr>
        <w:t>project development accord</w:t>
      </w:r>
      <w:r>
        <w:rPr>
          <w:rFonts w:hint="eastAsia" w:ascii="Times New Roman" w:hAnsi="Times New Roman" w:cs="Times New Roman"/>
          <w:color w:val="000000"/>
          <w:kern w:val="0"/>
          <w:sz w:val="24"/>
          <w:szCs w:val="24"/>
        </w:rPr>
        <w:t>ing to</w:t>
      </w:r>
      <w:r>
        <w:rPr>
          <w:rFonts w:ascii="Times New Roman" w:hAnsi="Times New Roman" w:cs="Times New Roman"/>
          <w:color w:val="000000"/>
          <w:kern w:val="0"/>
          <w:sz w:val="24"/>
          <w:szCs w:val="24"/>
        </w:rPr>
        <w:t xml:space="preserve"> the plan, and acquire the right to further obtain 27.5% equity interest in Singapore Subsidiaries; and </w:t>
      </w:r>
      <w:r>
        <w:rPr>
          <w:rFonts w:hint="eastAsia" w:ascii="Times New Roman" w:hAnsi="Times New Roman" w:cs="Times New Roman"/>
          <w:color w:val="000000"/>
          <w:kern w:val="0"/>
          <w:sz w:val="24"/>
          <w:szCs w:val="24"/>
        </w:rPr>
        <w:t>5</w:t>
      </w:r>
      <w:r>
        <w:rPr>
          <w:rFonts w:ascii="Times New Roman" w:hAnsi="Times New Roman" w:cs="Times New Roman"/>
          <w:color w:val="000000"/>
          <w:kern w:val="0"/>
          <w:sz w:val="24"/>
          <w:szCs w:val="24"/>
        </w:rPr>
        <w:t xml:space="preserve">. other </w:t>
      </w:r>
      <w:r>
        <w:rPr>
          <w:rFonts w:hint="eastAsia" w:ascii="Times New Roman" w:hAnsi="Times New Roman" w:cs="Times New Roman"/>
          <w:color w:val="000000"/>
          <w:kern w:val="0"/>
          <w:sz w:val="24"/>
          <w:szCs w:val="24"/>
        </w:rPr>
        <w:t xml:space="preserve">rights and </w:t>
      </w:r>
      <w:r>
        <w:rPr>
          <w:rFonts w:ascii="Times New Roman" w:hAnsi="Times New Roman" w:cs="Times New Roman"/>
          <w:color w:val="000000"/>
          <w:kern w:val="0"/>
          <w:sz w:val="24"/>
          <w:szCs w:val="24"/>
        </w:rPr>
        <w:t>obligations in relation to project development to be assumed pursuant to the terms of the original agreements.</w:t>
      </w:r>
    </w:p>
    <w:p w14:paraId="56408728">
      <w:pPr>
        <w:widowControl/>
        <w:adjustRightInd w:val="0"/>
        <w:snapToGrid w:val="0"/>
        <w:spacing w:before="156" w:beforeLines="50" w:after="156" w:afterLines="50" w:line="360" w:lineRule="auto"/>
        <w:ind w:firstLine="480" w:firstLineChars="20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After the completion of th</w:t>
      </w:r>
      <w:r>
        <w:rPr>
          <w:rFonts w:hint="eastAsia" w:ascii="Times New Roman" w:hAnsi="Times New Roman" w:cs="Times New Roman"/>
          <w:color w:val="000000"/>
          <w:kern w:val="0"/>
          <w:sz w:val="24"/>
          <w:szCs w:val="24"/>
        </w:rPr>
        <w:t>e</w:t>
      </w:r>
      <w:r>
        <w:rPr>
          <w:rFonts w:ascii="Times New Roman" w:hAnsi="Times New Roman" w:cs="Times New Roman"/>
          <w:color w:val="000000"/>
          <w:kern w:val="0"/>
          <w:sz w:val="24"/>
          <w:szCs w:val="24"/>
        </w:rPr>
        <w:t xml:space="preserve"> closing, the Company and its subsidiaries and Atlantic Lithium have a possible path to</w:t>
      </w:r>
      <w:r>
        <w:rPr>
          <w:rFonts w:hint="eastAsia" w:ascii="Times New Roman" w:hAnsi="Times New Roman" w:cs="Times New Roman"/>
          <w:color w:val="000000"/>
          <w:kern w:val="0"/>
          <w:sz w:val="24"/>
          <w:szCs w:val="24"/>
        </w:rPr>
        <w:t>,</w:t>
      </w:r>
      <w:r>
        <w:t xml:space="preserve"> </w:t>
      </w:r>
      <w:r>
        <w:rPr>
          <w:rFonts w:ascii="Times New Roman" w:hAnsi="Times New Roman" w:cs="Times New Roman"/>
          <w:color w:val="000000"/>
          <w:kern w:val="0"/>
          <w:sz w:val="24"/>
          <w:szCs w:val="24"/>
        </w:rPr>
        <w:t>pursuant</w:t>
      </w:r>
      <w:r>
        <w:rPr>
          <w:rFonts w:hint="eastAsia" w:ascii="Times New Roman" w:hAnsi="Times New Roman" w:cs="Times New Roman"/>
          <w:color w:val="000000"/>
          <w:kern w:val="0"/>
          <w:sz w:val="24"/>
          <w:szCs w:val="24"/>
        </w:rPr>
        <w:t xml:space="preserve"> to</w:t>
      </w:r>
      <w:r>
        <w:rPr>
          <w:rFonts w:ascii="Times New Roman" w:hAnsi="Times New Roman" w:cs="Times New Roman"/>
          <w:color w:val="000000"/>
          <w:kern w:val="0"/>
          <w:sz w:val="24"/>
          <w:szCs w:val="24"/>
        </w:rPr>
        <w:t xml:space="preserve"> the JV Agreements and relevant agreement</w:t>
      </w:r>
      <w:r>
        <w:rPr>
          <w:rFonts w:hint="eastAsia"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jointly advanc</w:t>
      </w:r>
      <w:r>
        <w:rPr>
          <w:rFonts w:hint="eastAsia" w:ascii="Times New Roman" w:hAnsi="Times New Roman" w:cs="Times New Roman"/>
          <w:color w:val="000000"/>
          <w:kern w:val="0"/>
          <w:sz w:val="24"/>
          <w:szCs w:val="24"/>
        </w:rPr>
        <w:t>e</w:t>
      </w:r>
      <w:r>
        <w:rPr>
          <w:rFonts w:ascii="Times New Roman" w:hAnsi="Times New Roman" w:cs="Times New Roman"/>
          <w:color w:val="000000"/>
          <w:kern w:val="0"/>
          <w:sz w:val="24"/>
          <w:szCs w:val="24"/>
        </w:rPr>
        <w:t xml:space="preserve"> the development of the Ewoyaa Lithium Project, thereby bringing benefits to the project community.</w:t>
      </w:r>
    </w:p>
    <w:p w14:paraId="1AE4960C">
      <w:pPr>
        <w:widowControl/>
        <w:adjustRightInd w:val="0"/>
        <w:snapToGrid w:val="0"/>
        <w:spacing w:before="156" w:beforeLines="50" w:after="156" w:afterLines="50" w:line="360" w:lineRule="auto"/>
        <w:ind w:firstLine="480" w:firstLineChars="20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As of the date </w:t>
      </w:r>
      <w:r>
        <w:rPr>
          <w:rFonts w:hint="eastAsia" w:ascii="Times New Roman" w:hAnsi="Times New Roman" w:cs="Times New Roman"/>
          <w:color w:val="000000"/>
          <w:kern w:val="0"/>
          <w:sz w:val="24"/>
          <w:szCs w:val="24"/>
        </w:rPr>
        <w:t>hereof</w:t>
      </w:r>
      <w:r>
        <w:rPr>
          <w:rFonts w:ascii="Times New Roman" w:hAnsi="Times New Roman" w:cs="Times New Roman"/>
          <w:color w:val="000000"/>
          <w:kern w:val="0"/>
          <w:sz w:val="24"/>
          <w:szCs w:val="24"/>
        </w:rPr>
        <w:t>, the closing work under the</w:t>
      </w:r>
      <w:r>
        <w:rPr>
          <w:rFonts w:ascii="Times New Roman" w:hAnsi="Times New Roman" w:cs="Times New Roman"/>
          <w:i/>
          <w:color w:val="000000"/>
          <w:kern w:val="0"/>
          <w:sz w:val="24"/>
          <w:szCs w:val="24"/>
        </w:rPr>
        <w:t xml:space="preserve"> Scheme Implementation Deed</w:t>
      </w:r>
      <w:r>
        <w:rPr>
          <w:rFonts w:ascii="Times New Roman" w:hAnsi="Times New Roman" w:cs="Times New Roman"/>
          <w:color w:val="000000"/>
          <w:kern w:val="0"/>
          <w:sz w:val="24"/>
          <w:szCs w:val="24"/>
        </w:rPr>
        <w:t xml:space="preserve"> between the Company and Atlantic Lithium is still being advanced in an orderly manner. The Company will continue </w:t>
      </w:r>
      <w:bookmarkStart w:id="5" w:name="OLE_LINK71"/>
      <w:bookmarkStart w:id="6" w:name="OLE_LINK70"/>
      <w:r>
        <w:rPr>
          <w:rFonts w:ascii="Times New Roman" w:hAnsi="Times New Roman" w:cs="Times New Roman"/>
          <w:color w:val="000000"/>
          <w:kern w:val="0"/>
          <w:sz w:val="24"/>
          <w:szCs w:val="24"/>
        </w:rPr>
        <w:t>sati</w:t>
      </w:r>
      <w:r>
        <w:rPr>
          <w:rFonts w:hint="eastAsia" w:ascii="Times New Roman" w:hAnsi="Times New Roman" w:cs="Times New Roman"/>
          <w:color w:val="000000"/>
          <w:kern w:val="0"/>
          <w:sz w:val="24"/>
          <w:szCs w:val="24"/>
        </w:rPr>
        <w:t>s</w:t>
      </w:r>
      <w:r>
        <w:rPr>
          <w:rFonts w:ascii="Times New Roman" w:hAnsi="Times New Roman" w:cs="Times New Roman"/>
          <w:color w:val="000000"/>
          <w:kern w:val="0"/>
          <w:sz w:val="24"/>
          <w:szCs w:val="24"/>
        </w:rPr>
        <w:t>fy</w:t>
      </w:r>
      <w:bookmarkEnd w:id="5"/>
      <w:bookmarkEnd w:id="6"/>
      <w:r>
        <w:rPr>
          <w:rFonts w:hint="eastAsia" w:ascii="Times New Roman" w:hAnsi="Times New Roman" w:cs="Times New Roman"/>
          <w:color w:val="000000"/>
          <w:kern w:val="0"/>
          <w:sz w:val="24"/>
          <w:szCs w:val="24"/>
        </w:rPr>
        <w:t>ing</w:t>
      </w:r>
      <w:r>
        <w:rPr>
          <w:rFonts w:ascii="Times New Roman" w:hAnsi="Times New Roman" w:cs="Times New Roman"/>
          <w:color w:val="000000"/>
          <w:kern w:val="0"/>
          <w:sz w:val="24"/>
          <w:szCs w:val="24"/>
        </w:rPr>
        <w:t xml:space="preserve"> the various conditions to closing and advance the completion of the closing of the acquisition of 100% equity </w:t>
      </w:r>
      <w:r>
        <w:rPr>
          <w:rFonts w:hint="eastAsia" w:ascii="Times New Roman" w:hAnsi="Times New Roman" w:cs="Times New Roman"/>
          <w:color w:val="000000"/>
          <w:kern w:val="0"/>
          <w:sz w:val="24"/>
          <w:szCs w:val="24"/>
        </w:rPr>
        <w:t xml:space="preserve">interest </w:t>
      </w:r>
      <w:r>
        <w:rPr>
          <w:rFonts w:ascii="Times New Roman" w:hAnsi="Times New Roman" w:cs="Times New Roman"/>
          <w:color w:val="000000"/>
          <w:kern w:val="0"/>
          <w:sz w:val="24"/>
          <w:szCs w:val="24"/>
        </w:rPr>
        <w:t xml:space="preserve">in Atlantic Lithium. After the completion of the closing, the Company will indirectly hold an 87% </w:t>
      </w:r>
      <w:r>
        <w:rPr>
          <w:rFonts w:hint="eastAsia" w:ascii="Times New Roman" w:hAnsi="Times New Roman" w:cs="Times New Roman"/>
          <w:color w:val="000000"/>
          <w:kern w:val="0"/>
          <w:sz w:val="24"/>
          <w:szCs w:val="24"/>
        </w:rPr>
        <w:t xml:space="preserve">equity </w:t>
      </w:r>
      <w:r>
        <w:rPr>
          <w:rFonts w:ascii="Times New Roman" w:hAnsi="Times New Roman" w:cs="Times New Roman"/>
          <w:color w:val="000000"/>
          <w:kern w:val="0"/>
          <w:sz w:val="24"/>
          <w:szCs w:val="24"/>
        </w:rPr>
        <w:t>interest in the Ewoyaa lithium project.</w:t>
      </w:r>
    </w:p>
    <w:p w14:paraId="1EB7843A">
      <w:pPr>
        <w:widowControl/>
        <w:adjustRightInd w:val="0"/>
        <w:snapToGrid w:val="0"/>
        <w:spacing w:before="156" w:beforeLines="50" w:after="156" w:afterLines="50" w:line="360" w:lineRule="auto"/>
        <w:ind w:firstLine="562" w:firstLineChars="200"/>
        <w:outlineLvl w:val="0"/>
        <w:rPr>
          <w:rFonts w:ascii="Times New Roman" w:hAnsi="Times New Roman" w:cs="Times New Roman"/>
          <w:b/>
          <w:bCs/>
          <w:sz w:val="28"/>
          <w:szCs w:val="28"/>
        </w:rPr>
      </w:pPr>
      <w:r>
        <w:rPr>
          <w:rFonts w:hint="eastAsia" w:ascii="Times New Roman" w:hAnsi="Times New Roman" w:cs="Times New Roman"/>
          <w:b/>
          <w:bCs/>
          <w:sz w:val="28"/>
          <w:szCs w:val="28"/>
        </w:rPr>
        <w:t>II</w:t>
      </w:r>
      <w:r>
        <w:rPr>
          <w:rFonts w:ascii="Times New Roman" w:hAnsi="Times New Roman" w:cs="Times New Roman"/>
          <w:b/>
          <w:bCs/>
          <w:sz w:val="28"/>
          <w:szCs w:val="28"/>
        </w:rPr>
        <w:t>I. Implications on the Company</w:t>
      </w:r>
    </w:p>
    <w:p w14:paraId="392977EA">
      <w:pPr>
        <w:adjustRightInd w:val="0"/>
        <w:snapToGrid w:val="0"/>
        <w:spacing w:before="156" w:beforeLines="50" w:after="156" w:afterLines="50"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The acquisition of all rights and obligations of Piedmont under various contracts with Atlantic Lithium and its Singapore </w:t>
      </w:r>
      <w:r>
        <w:rPr>
          <w:rFonts w:hint="eastAsia" w:ascii="Times New Roman" w:hAnsi="Times New Roman" w:eastAsia="宋体" w:cs="Times New Roman"/>
          <w:sz w:val="24"/>
          <w:szCs w:val="24"/>
        </w:rPr>
        <w:t>s</w:t>
      </w:r>
      <w:r>
        <w:rPr>
          <w:rFonts w:ascii="Times New Roman" w:hAnsi="Times New Roman" w:eastAsia="宋体" w:cs="Times New Roman"/>
          <w:sz w:val="24"/>
          <w:szCs w:val="24"/>
        </w:rPr>
        <w:t>ubsidiar</w:t>
      </w:r>
      <w:r>
        <w:rPr>
          <w:rFonts w:hint="eastAsia" w:ascii="Times New Roman" w:hAnsi="Times New Roman" w:eastAsia="宋体" w:cs="Times New Roman"/>
          <w:sz w:val="24"/>
          <w:szCs w:val="24"/>
        </w:rPr>
        <w:t>ies</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is</w:t>
      </w:r>
      <w:r>
        <w:rPr>
          <w:rFonts w:ascii="Times New Roman" w:hAnsi="Times New Roman" w:eastAsia="宋体" w:cs="Times New Roman"/>
          <w:sz w:val="24"/>
          <w:szCs w:val="24"/>
        </w:rPr>
        <w:t xml:space="preserve"> a significant step in the Company’s efforts to </w:t>
      </w:r>
      <w:r>
        <w:rPr>
          <w:rFonts w:hint="eastAsia" w:ascii="Times New Roman" w:hAnsi="Times New Roman" w:eastAsia="宋体" w:cs="Times New Roman"/>
          <w:sz w:val="24"/>
          <w:szCs w:val="24"/>
        </w:rPr>
        <w:t>acquire</w:t>
      </w:r>
      <w:r>
        <w:rPr>
          <w:rFonts w:ascii="Times New Roman" w:hAnsi="Times New Roman" w:eastAsia="宋体" w:cs="Times New Roman"/>
          <w:sz w:val="24"/>
          <w:szCs w:val="24"/>
        </w:rPr>
        <w:t xml:space="preserve"> Ewoyaa lithium mine. This Transaction will not have a material impact on current operating results, but may have a positive effect on future financial condition and operating results. There are no circumstances that would harm the interests of the Company or its minority shareholders.</w:t>
      </w:r>
    </w:p>
    <w:p w14:paraId="26544631">
      <w:pPr>
        <w:widowControl/>
        <w:adjustRightInd w:val="0"/>
        <w:snapToGrid w:val="0"/>
        <w:spacing w:before="156" w:beforeLines="50" w:after="156" w:afterLines="50" w:line="360" w:lineRule="auto"/>
        <w:ind w:firstLine="562" w:firstLineChars="200"/>
        <w:outlineLvl w:val="0"/>
        <w:rPr>
          <w:rFonts w:ascii="Times New Roman" w:hAnsi="Times New Roman" w:cs="Times New Roman"/>
          <w:b/>
          <w:bCs/>
          <w:sz w:val="28"/>
          <w:szCs w:val="28"/>
        </w:rPr>
      </w:pPr>
      <w:r>
        <w:rPr>
          <w:rFonts w:hint="eastAsia" w:ascii="Times New Roman" w:hAnsi="Times New Roman" w:cs="Times New Roman"/>
          <w:b/>
          <w:bCs/>
          <w:sz w:val="28"/>
          <w:szCs w:val="28"/>
        </w:rPr>
        <w:t>IV</w:t>
      </w:r>
      <w:r>
        <w:rPr>
          <w:rFonts w:ascii="Times New Roman" w:hAnsi="Times New Roman" w:cs="Times New Roman"/>
          <w:b/>
          <w:bCs/>
          <w:sz w:val="28"/>
          <w:szCs w:val="28"/>
        </w:rPr>
        <w:t>. Risk Warning</w:t>
      </w:r>
    </w:p>
    <w:p w14:paraId="3245CC89">
      <w:pPr>
        <w:adjustRightInd w:val="0"/>
        <w:snapToGrid w:val="0"/>
        <w:spacing w:before="50" w:after="50"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1</w:t>
      </w:r>
      <w:r>
        <w:rPr>
          <w:rFonts w:ascii="Times New Roman" w:hAnsi="Times New Roman" w:cs="Times New Roman"/>
          <w:sz w:val="24"/>
          <w:szCs w:val="24"/>
        </w:rPr>
        <w:t>. Lithium, as a critical energy metal, has experienced significant price volatility in recent years. Such lithium price fluctuations will directly impact the operating returns of the relevant target project after commissioning. A substantial decline in lithium prices may cause the economic returns of the Transaction to fail to meet market expectations.</w:t>
      </w:r>
    </w:p>
    <w:p w14:paraId="3AC4633C">
      <w:pPr>
        <w:adjustRightInd w:val="0"/>
        <w:snapToGrid w:val="0"/>
        <w:spacing w:before="50" w:after="50"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 Due to variations in the international landscape, legal and regulatory systems, cultural environments and other external factors, the Company differs from the target entities in terms of development stage, management mechanism and corporate culture. Inadequate post-transaction integration and failure to generate expected synergies may weaken the anticipated benefits of the Transaction. In addition, the normal business operations of the target entities may be adversely affected by global geopolitical risks, exchange rate movements, trade policy adjustments, economic sanctions, as well as changes in the laws, regulations and regulatory regimes of the host country.</w:t>
      </w:r>
    </w:p>
    <w:p w14:paraId="1B1FC8DE">
      <w:pPr>
        <w:adjustRightInd w:val="0"/>
        <w:snapToGrid w:val="0"/>
        <w:spacing w:before="50" w:after="50"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3</w:t>
      </w:r>
      <w:r>
        <w:rPr>
          <w:rFonts w:ascii="Times New Roman" w:hAnsi="Times New Roman" w:cs="Times New Roman"/>
          <w:sz w:val="24"/>
          <w:szCs w:val="24"/>
        </w:rPr>
        <w:t xml:space="preserve">. The completion of the Transaction and the Company’s acquisition of 100% equity interest in Atlantic Lithium Limited are subject to inherent uncertainties. </w:t>
      </w:r>
      <w:r>
        <w:rPr>
          <w:rFonts w:hint="eastAsia" w:ascii="Times New Roman" w:hAnsi="Times New Roman" w:cs="Times New Roman"/>
          <w:sz w:val="24"/>
          <w:szCs w:val="24"/>
        </w:rPr>
        <w:t>T</w:t>
      </w:r>
      <w:r>
        <w:rPr>
          <w:rFonts w:ascii="Times New Roman" w:hAnsi="Times New Roman" w:cs="Times New Roman"/>
          <w:sz w:val="24"/>
          <w:szCs w:val="24"/>
        </w:rPr>
        <w:t>he Company’s ultimate equity ratio in the Ewoyaa Lithium Project will be determined pursuant to the actual closing arrangements.</w:t>
      </w:r>
    </w:p>
    <w:p w14:paraId="194179BF">
      <w:pPr>
        <w:adjustRightInd w:val="0"/>
        <w:snapToGrid w:val="0"/>
        <w:spacing w:before="50" w:after="50"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We urge investors to be mindful of investment risks</w:t>
      </w:r>
    </w:p>
    <w:p w14:paraId="702FBF2F">
      <w:pPr>
        <w:adjustRightInd w:val="0"/>
        <w:snapToGrid w:val="0"/>
        <w:spacing w:line="560" w:lineRule="exact"/>
        <w:ind w:firstLine="480" w:firstLineChars="200"/>
        <w:rPr>
          <w:rFonts w:ascii="Times New Roman" w:hAnsi="Times New Roman" w:cs="Times New Roman"/>
          <w:sz w:val="24"/>
          <w:szCs w:val="24"/>
        </w:rPr>
      </w:pPr>
    </w:p>
    <w:p w14:paraId="171C8DBB">
      <w:pPr>
        <w:adjustRightInd w:val="0"/>
        <w:snapToGrid w:val="0"/>
        <w:spacing w:line="560" w:lineRule="exact"/>
        <w:ind w:firstLine="480" w:firstLineChars="200"/>
        <w:rPr>
          <w:rFonts w:ascii="Times New Roman" w:hAnsi="Times New Roman" w:cs="Times New Roman"/>
          <w:sz w:val="24"/>
          <w:szCs w:val="24"/>
        </w:rPr>
      </w:pPr>
      <w:r>
        <w:rPr>
          <w:rFonts w:ascii="Times New Roman" w:hAnsi="Times New Roman" w:cs="Times New Roman"/>
          <w:sz w:val="24"/>
          <w:szCs w:val="24"/>
        </w:rPr>
        <w:t>The announcement is hereby given.</w:t>
      </w:r>
    </w:p>
    <w:p w14:paraId="3D75FC73">
      <w:pPr>
        <w:adjustRightInd w:val="0"/>
        <w:snapToGrid w:val="0"/>
        <w:spacing w:line="560" w:lineRule="exact"/>
        <w:ind w:firstLine="480" w:firstLineChars="200"/>
        <w:rPr>
          <w:rFonts w:ascii="Times New Roman" w:hAnsi="Times New Roman" w:cs="Times New Roman"/>
          <w:sz w:val="24"/>
          <w:szCs w:val="24"/>
        </w:rPr>
      </w:pPr>
    </w:p>
    <w:p w14:paraId="7262A67C">
      <w:pPr>
        <w:adjustRightInd w:val="0"/>
        <w:snapToGrid w:val="0"/>
        <w:spacing w:line="560" w:lineRule="exact"/>
        <w:ind w:firstLine="480" w:firstLineChars="200"/>
        <w:rPr>
          <w:rFonts w:ascii="Times New Roman" w:hAnsi="Times New Roman" w:cs="Times New Roman"/>
          <w:sz w:val="24"/>
          <w:szCs w:val="24"/>
        </w:rPr>
      </w:pPr>
    </w:p>
    <w:p w14:paraId="4D99D3AA">
      <w:pPr>
        <w:adjustRightInd w:val="0"/>
        <w:snapToGrid w:val="0"/>
        <w:spacing w:line="560" w:lineRule="exact"/>
        <w:ind w:firstLine="480" w:firstLineChars="200"/>
        <w:jc w:val="right"/>
        <w:rPr>
          <w:rFonts w:ascii="Times New Roman" w:hAnsi="Times New Roman" w:cs="Times New Roman"/>
          <w:sz w:val="24"/>
          <w:szCs w:val="24"/>
        </w:rPr>
      </w:pPr>
      <w:r>
        <w:rPr>
          <w:rFonts w:ascii="Times New Roman" w:hAnsi="Times New Roman" w:cs="Times New Roman"/>
          <w:sz w:val="24"/>
          <w:szCs w:val="24"/>
        </w:rPr>
        <w:t>Board of Directors of Zhejiang Huayou Cobalt Co., Ltd.</w:t>
      </w:r>
    </w:p>
    <w:p w14:paraId="2159FAE6">
      <w:pPr>
        <w:adjustRightInd w:val="0"/>
        <w:snapToGrid w:val="0"/>
        <w:spacing w:line="560" w:lineRule="exact"/>
        <w:ind w:firstLine="480" w:firstLineChars="200"/>
        <w:jc w:val="right"/>
        <w:rPr>
          <w:rFonts w:ascii="Times New Roman" w:hAnsi="Times New Roman" w:cs="Times New Roman"/>
          <w:sz w:val="24"/>
          <w:szCs w:val="24"/>
        </w:rPr>
      </w:pPr>
      <w:r>
        <w:rPr>
          <w:rFonts w:hint="eastAsia" w:ascii="Times New Roman" w:hAnsi="Times New Roman" w:cs="Times New Roman"/>
          <w:sz w:val="24"/>
          <w:szCs w:val="24"/>
        </w:rPr>
        <w:t>October 2</w:t>
      </w:r>
      <w:r>
        <w:rPr>
          <w:rFonts w:hint="eastAsia" w:ascii="Times New Roman" w:hAnsi="Times New Roman" w:cs="Times New Roman"/>
          <w:sz w:val="24"/>
          <w:szCs w:val="24"/>
          <w:lang w:val="en-US" w:eastAsia="zh-CN"/>
        </w:rPr>
        <w:t>6</w:t>
      </w:r>
      <w:r>
        <w:rPr>
          <w:rFonts w:ascii="Times New Roman" w:hAnsi="Times New Roman" w:cs="Times New Roman"/>
          <w:sz w:val="24"/>
          <w:szCs w:val="24"/>
        </w:rPr>
        <w:t>, 2026</w:t>
      </w:r>
    </w:p>
    <w:p w14:paraId="51001D76">
      <w:pPr>
        <w:widowControl/>
        <w:adjustRightInd w:val="0"/>
        <w:snapToGrid w:val="0"/>
        <w:spacing w:line="560" w:lineRule="exact"/>
        <w:jc w:val="left"/>
        <w:rPr>
          <w:rFonts w:ascii="Times New Roman" w:hAnsi="Times New Roman" w:cs="Times New Roman"/>
          <w:sz w:val="24"/>
          <w:szCs w:val="24"/>
        </w:rPr>
      </w:pPr>
    </w:p>
    <w:p w14:paraId="1376CADD">
      <w:pPr>
        <w:jc w:val="right"/>
        <w:rPr>
          <w:rFonts w:ascii="Times New Roman" w:hAnsi="Times New Roman" w:cs="Times New Roman"/>
          <w:b/>
          <w:sz w:val="24"/>
          <w:szCs w:val="24"/>
        </w:rPr>
      </w:pP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 w:name="RemovedBindingXPath" w:val="true"/>
  </w:docVars>
  <w:rsids>
    <w:rsidRoot w:val="008C5DB8"/>
    <w:rsid w:val="00004EF0"/>
    <w:rsid w:val="0000622B"/>
    <w:rsid w:val="00007894"/>
    <w:rsid w:val="00011B58"/>
    <w:rsid w:val="00011D6B"/>
    <w:rsid w:val="00011E7C"/>
    <w:rsid w:val="000134A9"/>
    <w:rsid w:val="00013C7A"/>
    <w:rsid w:val="00014DAA"/>
    <w:rsid w:val="0001513D"/>
    <w:rsid w:val="00016A68"/>
    <w:rsid w:val="00017DF4"/>
    <w:rsid w:val="000209EB"/>
    <w:rsid w:val="00023FE2"/>
    <w:rsid w:val="00024791"/>
    <w:rsid w:val="00024B0F"/>
    <w:rsid w:val="000316A0"/>
    <w:rsid w:val="000316DE"/>
    <w:rsid w:val="000320FF"/>
    <w:rsid w:val="000329AD"/>
    <w:rsid w:val="00033287"/>
    <w:rsid w:val="00036E39"/>
    <w:rsid w:val="000415E2"/>
    <w:rsid w:val="00041AFF"/>
    <w:rsid w:val="00041B70"/>
    <w:rsid w:val="00041E2E"/>
    <w:rsid w:val="00050632"/>
    <w:rsid w:val="0005296D"/>
    <w:rsid w:val="0005330F"/>
    <w:rsid w:val="000552DE"/>
    <w:rsid w:val="00055BB1"/>
    <w:rsid w:val="00055D12"/>
    <w:rsid w:val="0005649D"/>
    <w:rsid w:val="00057954"/>
    <w:rsid w:val="00057A08"/>
    <w:rsid w:val="00057AAF"/>
    <w:rsid w:val="0006154D"/>
    <w:rsid w:val="00061EF5"/>
    <w:rsid w:val="000657A0"/>
    <w:rsid w:val="00071209"/>
    <w:rsid w:val="00071335"/>
    <w:rsid w:val="000715B9"/>
    <w:rsid w:val="00071DCE"/>
    <w:rsid w:val="00071DFD"/>
    <w:rsid w:val="00071EFB"/>
    <w:rsid w:val="0007584E"/>
    <w:rsid w:val="0007700C"/>
    <w:rsid w:val="00083392"/>
    <w:rsid w:val="000843BF"/>
    <w:rsid w:val="000847A8"/>
    <w:rsid w:val="0008599D"/>
    <w:rsid w:val="0008617F"/>
    <w:rsid w:val="000908FB"/>
    <w:rsid w:val="00091B04"/>
    <w:rsid w:val="00091E1F"/>
    <w:rsid w:val="00093A5E"/>
    <w:rsid w:val="00094CDA"/>
    <w:rsid w:val="00095035"/>
    <w:rsid w:val="0009529B"/>
    <w:rsid w:val="00096417"/>
    <w:rsid w:val="0009688B"/>
    <w:rsid w:val="00096AF6"/>
    <w:rsid w:val="00097314"/>
    <w:rsid w:val="000A0447"/>
    <w:rsid w:val="000A0B83"/>
    <w:rsid w:val="000A0BA2"/>
    <w:rsid w:val="000A2CC0"/>
    <w:rsid w:val="000A2F81"/>
    <w:rsid w:val="000A5346"/>
    <w:rsid w:val="000A581B"/>
    <w:rsid w:val="000A777E"/>
    <w:rsid w:val="000A779D"/>
    <w:rsid w:val="000B1C0F"/>
    <w:rsid w:val="000B26F4"/>
    <w:rsid w:val="000B2D61"/>
    <w:rsid w:val="000B5402"/>
    <w:rsid w:val="000B57B8"/>
    <w:rsid w:val="000B61DD"/>
    <w:rsid w:val="000B6EFB"/>
    <w:rsid w:val="000B7927"/>
    <w:rsid w:val="000C126A"/>
    <w:rsid w:val="000C1CD5"/>
    <w:rsid w:val="000C26F1"/>
    <w:rsid w:val="000C2BA7"/>
    <w:rsid w:val="000C4D9C"/>
    <w:rsid w:val="000C4F6E"/>
    <w:rsid w:val="000D0554"/>
    <w:rsid w:val="000D0998"/>
    <w:rsid w:val="000D408E"/>
    <w:rsid w:val="000D4135"/>
    <w:rsid w:val="000D46D2"/>
    <w:rsid w:val="000D70E1"/>
    <w:rsid w:val="000D71C2"/>
    <w:rsid w:val="000E2BD7"/>
    <w:rsid w:val="000E4C4B"/>
    <w:rsid w:val="000E5CEE"/>
    <w:rsid w:val="000E5D69"/>
    <w:rsid w:val="000E65BF"/>
    <w:rsid w:val="000F2FE3"/>
    <w:rsid w:val="000F32A6"/>
    <w:rsid w:val="000F39F7"/>
    <w:rsid w:val="000F4243"/>
    <w:rsid w:val="00102EE0"/>
    <w:rsid w:val="00105374"/>
    <w:rsid w:val="00110400"/>
    <w:rsid w:val="00110C53"/>
    <w:rsid w:val="00110FD3"/>
    <w:rsid w:val="00111FD6"/>
    <w:rsid w:val="00117BC7"/>
    <w:rsid w:val="00120E15"/>
    <w:rsid w:val="00121EB3"/>
    <w:rsid w:val="00123A27"/>
    <w:rsid w:val="0013329D"/>
    <w:rsid w:val="001345D6"/>
    <w:rsid w:val="00135412"/>
    <w:rsid w:val="00136B4D"/>
    <w:rsid w:val="00142572"/>
    <w:rsid w:val="00142BE7"/>
    <w:rsid w:val="001445A8"/>
    <w:rsid w:val="00144A2D"/>
    <w:rsid w:val="00145AE4"/>
    <w:rsid w:val="00146AE6"/>
    <w:rsid w:val="00147BA3"/>
    <w:rsid w:val="001509BD"/>
    <w:rsid w:val="00153DCA"/>
    <w:rsid w:val="00154ECD"/>
    <w:rsid w:val="00154F63"/>
    <w:rsid w:val="00156132"/>
    <w:rsid w:val="001627BA"/>
    <w:rsid w:val="001635C5"/>
    <w:rsid w:val="001656ED"/>
    <w:rsid w:val="001745A0"/>
    <w:rsid w:val="00174FAC"/>
    <w:rsid w:val="001763D0"/>
    <w:rsid w:val="00183AD3"/>
    <w:rsid w:val="00183F1C"/>
    <w:rsid w:val="00185D57"/>
    <w:rsid w:val="00186AC7"/>
    <w:rsid w:val="0019044B"/>
    <w:rsid w:val="00191AE4"/>
    <w:rsid w:val="00192312"/>
    <w:rsid w:val="00192FA9"/>
    <w:rsid w:val="00193328"/>
    <w:rsid w:val="001953C1"/>
    <w:rsid w:val="00196698"/>
    <w:rsid w:val="00196816"/>
    <w:rsid w:val="001A2A30"/>
    <w:rsid w:val="001A2E2D"/>
    <w:rsid w:val="001A3084"/>
    <w:rsid w:val="001A4B40"/>
    <w:rsid w:val="001A562D"/>
    <w:rsid w:val="001A5AD2"/>
    <w:rsid w:val="001A6EA4"/>
    <w:rsid w:val="001B0753"/>
    <w:rsid w:val="001B0861"/>
    <w:rsid w:val="001B0FAE"/>
    <w:rsid w:val="001B11FC"/>
    <w:rsid w:val="001B3894"/>
    <w:rsid w:val="001B39F3"/>
    <w:rsid w:val="001B403D"/>
    <w:rsid w:val="001C0B03"/>
    <w:rsid w:val="001C1F7E"/>
    <w:rsid w:val="001C20B5"/>
    <w:rsid w:val="001C2826"/>
    <w:rsid w:val="001C3E4D"/>
    <w:rsid w:val="001C3E6D"/>
    <w:rsid w:val="001C61C9"/>
    <w:rsid w:val="001C6DB0"/>
    <w:rsid w:val="001D05A4"/>
    <w:rsid w:val="001D157D"/>
    <w:rsid w:val="001D269D"/>
    <w:rsid w:val="001D5AFC"/>
    <w:rsid w:val="001D5BCD"/>
    <w:rsid w:val="001D6ABC"/>
    <w:rsid w:val="001E1D88"/>
    <w:rsid w:val="001E6D93"/>
    <w:rsid w:val="001E75C4"/>
    <w:rsid w:val="001F2083"/>
    <w:rsid w:val="001F422F"/>
    <w:rsid w:val="001F6810"/>
    <w:rsid w:val="001F6B2B"/>
    <w:rsid w:val="00202534"/>
    <w:rsid w:val="002048A3"/>
    <w:rsid w:val="00206BC7"/>
    <w:rsid w:val="00207652"/>
    <w:rsid w:val="00207743"/>
    <w:rsid w:val="00210883"/>
    <w:rsid w:val="00213781"/>
    <w:rsid w:val="00214ACE"/>
    <w:rsid w:val="00215E68"/>
    <w:rsid w:val="00216775"/>
    <w:rsid w:val="002217D3"/>
    <w:rsid w:val="00224529"/>
    <w:rsid w:val="0022784F"/>
    <w:rsid w:val="00230F96"/>
    <w:rsid w:val="00231D36"/>
    <w:rsid w:val="0023362A"/>
    <w:rsid w:val="002370D9"/>
    <w:rsid w:val="002432E5"/>
    <w:rsid w:val="00244577"/>
    <w:rsid w:val="00250A64"/>
    <w:rsid w:val="00254100"/>
    <w:rsid w:val="00254558"/>
    <w:rsid w:val="0025534A"/>
    <w:rsid w:val="00260131"/>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87F68"/>
    <w:rsid w:val="00290FC6"/>
    <w:rsid w:val="002926DD"/>
    <w:rsid w:val="002930BD"/>
    <w:rsid w:val="002948E5"/>
    <w:rsid w:val="00295147"/>
    <w:rsid w:val="00295A30"/>
    <w:rsid w:val="002969F3"/>
    <w:rsid w:val="00296B71"/>
    <w:rsid w:val="002A2075"/>
    <w:rsid w:val="002A20B3"/>
    <w:rsid w:val="002A3368"/>
    <w:rsid w:val="002A40E8"/>
    <w:rsid w:val="002A5BD6"/>
    <w:rsid w:val="002A6062"/>
    <w:rsid w:val="002B03CC"/>
    <w:rsid w:val="002B0DEC"/>
    <w:rsid w:val="002B187E"/>
    <w:rsid w:val="002B3462"/>
    <w:rsid w:val="002B7FB0"/>
    <w:rsid w:val="002C0A13"/>
    <w:rsid w:val="002C1998"/>
    <w:rsid w:val="002C4298"/>
    <w:rsid w:val="002C51A6"/>
    <w:rsid w:val="002C578E"/>
    <w:rsid w:val="002C73D0"/>
    <w:rsid w:val="002D06DF"/>
    <w:rsid w:val="002D11F5"/>
    <w:rsid w:val="002D1C0D"/>
    <w:rsid w:val="002D7A46"/>
    <w:rsid w:val="002E0F85"/>
    <w:rsid w:val="002E17BB"/>
    <w:rsid w:val="002E3CFE"/>
    <w:rsid w:val="002E5862"/>
    <w:rsid w:val="002E673D"/>
    <w:rsid w:val="002E6FED"/>
    <w:rsid w:val="002F0218"/>
    <w:rsid w:val="002F4615"/>
    <w:rsid w:val="002F7887"/>
    <w:rsid w:val="003006FD"/>
    <w:rsid w:val="00300E0C"/>
    <w:rsid w:val="003068DE"/>
    <w:rsid w:val="00306CA5"/>
    <w:rsid w:val="003071F3"/>
    <w:rsid w:val="00311E9F"/>
    <w:rsid w:val="00317BC2"/>
    <w:rsid w:val="003216A9"/>
    <w:rsid w:val="0032367F"/>
    <w:rsid w:val="00323A21"/>
    <w:rsid w:val="0032458D"/>
    <w:rsid w:val="003253F1"/>
    <w:rsid w:val="00325654"/>
    <w:rsid w:val="0032604F"/>
    <w:rsid w:val="00331C12"/>
    <w:rsid w:val="00335113"/>
    <w:rsid w:val="0033790F"/>
    <w:rsid w:val="00337BE0"/>
    <w:rsid w:val="003402FE"/>
    <w:rsid w:val="003428F3"/>
    <w:rsid w:val="0034755D"/>
    <w:rsid w:val="00352FEF"/>
    <w:rsid w:val="0035344A"/>
    <w:rsid w:val="00353872"/>
    <w:rsid w:val="00354018"/>
    <w:rsid w:val="00355E1B"/>
    <w:rsid w:val="00356E10"/>
    <w:rsid w:val="00357EA0"/>
    <w:rsid w:val="00361700"/>
    <w:rsid w:val="00364663"/>
    <w:rsid w:val="003651DF"/>
    <w:rsid w:val="003653F5"/>
    <w:rsid w:val="00366CCD"/>
    <w:rsid w:val="00367453"/>
    <w:rsid w:val="00370B90"/>
    <w:rsid w:val="00374A19"/>
    <w:rsid w:val="00375B9C"/>
    <w:rsid w:val="00376606"/>
    <w:rsid w:val="003766EF"/>
    <w:rsid w:val="00383379"/>
    <w:rsid w:val="003843C8"/>
    <w:rsid w:val="0038738F"/>
    <w:rsid w:val="00393988"/>
    <w:rsid w:val="00394A8C"/>
    <w:rsid w:val="00395F09"/>
    <w:rsid w:val="00396692"/>
    <w:rsid w:val="003966B0"/>
    <w:rsid w:val="003A016D"/>
    <w:rsid w:val="003A041B"/>
    <w:rsid w:val="003A3353"/>
    <w:rsid w:val="003A5862"/>
    <w:rsid w:val="003A594F"/>
    <w:rsid w:val="003A6E06"/>
    <w:rsid w:val="003B142A"/>
    <w:rsid w:val="003B45ED"/>
    <w:rsid w:val="003B5C0B"/>
    <w:rsid w:val="003B6F09"/>
    <w:rsid w:val="003B772C"/>
    <w:rsid w:val="003C0312"/>
    <w:rsid w:val="003C0DA5"/>
    <w:rsid w:val="003C16A8"/>
    <w:rsid w:val="003C6D08"/>
    <w:rsid w:val="003C7EAB"/>
    <w:rsid w:val="003D0C6A"/>
    <w:rsid w:val="003D4895"/>
    <w:rsid w:val="003D508E"/>
    <w:rsid w:val="003E1749"/>
    <w:rsid w:val="003E1D72"/>
    <w:rsid w:val="003E2F2A"/>
    <w:rsid w:val="003E2F5B"/>
    <w:rsid w:val="003E4198"/>
    <w:rsid w:val="003E4F31"/>
    <w:rsid w:val="003E6330"/>
    <w:rsid w:val="003F333E"/>
    <w:rsid w:val="003F59BF"/>
    <w:rsid w:val="003F619C"/>
    <w:rsid w:val="003F651E"/>
    <w:rsid w:val="004022C5"/>
    <w:rsid w:val="00404DF5"/>
    <w:rsid w:val="00405849"/>
    <w:rsid w:val="00405F2E"/>
    <w:rsid w:val="0040650F"/>
    <w:rsid w:val="00413037"/>
    <w:rsid w:val="004150E8"/>
    <w:rsid w:val="00423B5B"/>
    <w:rsid w:val="004240D4"/>
    <w:rsid w:val="00424E22"/>
    <w:rsid w:val="00425642"/>
    <w:rsid w:val="00426491"/>
    <w:rsid w:val="00427543"/>
    <w:rsid w:val="00430B69"/>
    <w:rsid w:val="0043754A"/>
    <w:rsid w:val="00437CE1"/>
    <w:rsid w:val="0044168F"/>
    <w:rsid w:val="00442A1B"/>
    <w:rsid w:val="004443A8"/>
    <w:rsid w:val="00444C5C"/>
    <w:rsid w:val="00444D15"/>
    <w:rsid w:val="004452CF"/>
    <w:rsid w:val="004462D1"/>
    <w:rsid w:val="00446E52"/>
    <w:rsid w:val="00447880"/>
    <w:rsid w:val="00456AB7"/>
    <w:rsid w:val="0046022C"/>
    <w:rsid w:val="00460544"/>
    <w:rsid w:val="0046389B"/>
    <w:rsid w:val="004640B3"/>
    <w:rsid w:val="004677A9"/>
    <w:rsid w:val="004700D5"/>
    <w:rsid w:val="00471C18"/>
    <w:rsid w:val="00472CF3"/>
    <w:rsid w:val="004770E5"/>
    <w:rsid w:val="00482007"/>
    <w:rsid w:val="004824A9"/>
    <w:rsid w:val="0048261B"/>
    <w:rsid w:val="0048475F"/>
    <w:rsid w:val="00484A20"/>
    <w:rsid w:val="00484CD8"/>
    <w:rsid w:val="00486D13"/>
    <w:rsid w:val="00490CC5"/>
    <w:rsid w:val="00491D85"/>
    <w:rsid w:val="004923D4"/>
    <w:rsid w:val="00493080"/>
    <w:rsid w:val="0049605D"/>
    <w:rsid w:val="00496916"/>
    <w:rsid w:val="004A1747"/>
    <w:rsid w:val="004A1FDB"/>
    <w:rsid w:val="004A21F5"/>
    <w:rsid w:val="004A2D0E"/>
    <w:rsid w:val="004A330D"/>
    <w:rsid w:val="004A3F7D"/>
    <w:rsid w:val="004A4FC9"/>
    <w:rsid w:val="004A6E8A"/>
    <w:rsid w:val="004B1154"/>
    <w:rsid w:val="004B1C50"/>
    <w:rsid w:val="004B2D4F"/>
    <w:rsid w:val="004B35E5"/>
    <w:rsid w:val="004B6EAD"/>
    <w:rsid w:val="004B72D1"/>
    <w:rsid w:val="004B735F"/>
    <w:rsid w:val="004B744D"/>
    <w:rsid w:val="004C2C49"/>
    <w:rsid w:val="004C2D15"/>
    <w:rsid w:val="004C6011"/>
    <w:rsid w:val="004C7913"/>
    <w:rsid w:val="004D2D6C"/>
    <w:rsid w:val="004D2FF1"/>
    <w:rsid w:val="004D4A66"/>
    <w:rsid w:val="004D55A9"/>
    <w:rsid w:val="004D6C6D"/>
    <w:rsid w:val="004D6D5C"/>
    <w:rsid w:val="004D76A4"/>
    <w:rsid w:val="004E35CE"/>
    <w:rsid w:val="004E54F5"/>
    <w:rsid w:val="004E6841"/>
    <w:rsid w:val="004F0C29"/>
    <w:rsid w:val="004F0C8D"/>
    <w:rsid w:val="004F383D"/>
    <w:rsid w:val="004F3E45"/>
    <w:rsid w:val="004F4931"/>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73B0"/>
    <w:rsid w:val="00521184"/>
    <w:rsid w:val="00526671"/>
    <w:rsid w:val="00530B9D"/>
    <w:rsid w:val="00530BC3"/>
    <w:rsid w:val="0053277A"/>
    <w:rsid w:val="00533839"/>
    <w:rsid w:val="0053497E"/>
    <w:rsid w:val="005355FC"/>
    <w:rsid w:val="00536579"/>
    <w:rsid w:val="00536BBF"/>
    <w:rsid w:val="00537CD7"/>
    <w:rsid w:val="00540481"/>
    <w:rsid w:val="005411B5"/>
    <w:rsid w:val="0054167F"/>
    <w:rsid w:val="00541D93"/>
    <w:rsid w:val="00543F21"/>
    <w:rsid w:val="00544318"/>
    <w:rsid w:val="005443EB"/>
    <w:rsid w:val="00545344"/>
    <w:rsid w:val="005465C2"/>
    <w:rsid w:val="00547C23"/>
    <w:rsid w:val="00550CD6"/>
    <w:rsid w:val="0055150E"/>
    <w:rsid w:val="005543F1"/>
    <w:rsid w:val="00554723"/>
    <w:rsid w:val="0055573D"/>
    <w:rsid w:val="00555DE5"/>
    <w:rsid w:val="00560B7B"/>
    <w:rsid w:val="00561A5A"/>
    <w:rsid w:val="0056206B"/>
    <w:rsid w:val="005633F3"/>
    <w:rsid w:val="005658C9"/>
    <w:rsid w:val="005755D1"/>
    <w:rsid w:val="00580A5C"/>
    <w:rsid w:val="0058191C"/>
    <w:rsid w:val="00581D6A"/>
    <w:rsid w:val="005820B4"/>
    <w:rsid w:val="005876FC"/>
    <w:rsid w:val="0059056B"/>
    <w:rsid w:val="00591B49"/>
    <w:rsid w:val="0059356D"/>
    <w:rsid w:val="00594A91"/>
    <w:rsid w:val="005970A7"/>
    <w:rsid w:val="005A1457"/>
    <w:rsid w:val="005A1EDA"/>
    <w:rsid w:val="005A26F2"/>
    <w:rsid w:val="005A2FBD"/>
    <w:rsid w:val="005A53C1"/>
    <w:rsid w:val="005A5B25"/>
    <w:rsid w:val="005A5C2E"/>
    <w:rsid w:val="005B236C"/>
    <w:rsid w:val="005B4D00"/>
    <w:rsid w:val="005B4EB2"/>
    <w:rsid w:val="005B4FEC"/>
    <w:rsid w:val="005B6615"/>
    <w:rsid w:val="005C0F43"/>
    <w:rsid w:val="005C1B88"/>
    <w:rsid w:val="005C5D26"/>
    <w:rsid w:val="005D4820"/>
    <w:rsid w:val="005D5B49"/>
    <w:rsid w:val="005D6461"/>
    <w:rsid w:val="005D6496"/>
    <w:rsid w:val="005D6A27"/>
    <w:rsid w:val="005D7D35"/>
    <w:rsid w:val="005E05A5"/>
    <w:rsid w:val="005E0600"/>
    <w:rsid w:val="005E0636"/>
    <w:rsid w:val="005E1DCC"/>
    <w:rsid w:val="005E1E6C"/>
    <w:rsid w:val="005E1F3C"/>
    <w:rsid w:val="005E2BF5"/>
    <w:rsid w:val="005E344D"/>
    <w:rsid w:val="005E70DF"/>
    <w:rsid w:val="005F0412"/>
    <w:rsid w:val="005F0F25"/>
    <w:rsid w:val="005F0FC0"/>
    <w:rsid w:val="005F24D8"/>
    <w:rsid w:val="005F5073"/>
    <w:rsid w:val="005F6043"/>
    <w:rsid w:val="006026D7"/>
    <w:rsid w:val="00603347"/>
    <w:rsid w:val="00604BA9"/>
    <w:rsid w:val="00606026"/>
    <w:rsid w:val="0060615A"/>
    <w:rsid w:val="00607A44"/>
    <w:rsid w:val="00610692"/>
    <w:rsid w:val="00610DA7"/>
    <w:rsid w:val="00611348"/>
    <w:rsid w:val="006136ED"/>
    <w:rsid w:val="006149BA"/>
    <w:rsid w:val="00617BE8"/>
    <w:rsid w:val="00617F9F"/>
    <w:rsid w:val="006208E7"/>
    <w:rsid w:val="00621CB3"/>
    <w:rsid w:val="00622196"/>
    <w:rsid w:val="00624BC4"/>
    <w:rsid w:val="00630145"/>
    <w:rsid w:val="006310D7"/>
    <w:rsid w:val="006315A8"/>
    <w:rsid w:val="00636E20"/>
    <w:rsid w:val="00637BBF"/>
    <w:rsid w:val="00637D27"/>
    <w:rsid w:val="00637D82"/>
    <w:rsid w:val="00640106"/>
    <w:rsid w:val="00641D09"/>
    <w:rsid w:val="00644C25"/>
    <w:rsid w:val="0064661F"/>
    <w:rsid w:val="0064773D"/>
    <w:rsid w:val="0064798C"/>
    <w:rsid w:val="00650B0F"/>
    <w:rsid w:val="00652AAD"/>
    <w:rsid w:val="00654590"/>
    <w:rsid w:val="00654F20"/>
    <w:rsid w:val="0065550D"/>
    <w:rsid w:val="006634E1"/>
    <w:rsid w:val="006639A1"/>
    <w:rsid w:val="00674103"/>
    <w:rsid w:val="00674AEB"/>
    <w:rsid w:val="00675CB6"/>
    <w:rsid w:val="006775D3"/>
    <w:rsid w:val="006800B3"/>
    <w:rsid w:val="00681310"/>
    <w:rsid w:val="00681474"/>
    <w:rsid w:val="00681F63"/>
    <w:rsid w:val="00686268"/>
    <w:rsid w:val="00690A11"/>
    <w:rsid w:val="00692118"/>
    <w:rsid w:val="00692532"/>
    <w:rsid w:val="00695C7D"/>
    <w:rsid w:val="0069742F"/>
    <w:rsid w:val="006A0A03"/>
    <w:rsid w:val="006A2470"/>
    <w:rsid w:val="006A2D38"/>
    <w:rsid w:val="006A7E6C"/>
    <w:rsid w:val="006B024B"/>
    <w:rsid w:val="006B3409"/>
    <w:rsid w:val="006B56A9"/>
    <w:rsid w:val="006B6815"/>
    <w:rsid w:val="006C1BEB"/>
    <w:rsid w:val="006C3189"/>
    <w:rsid w:val="006C52B5"/>
    <w:rsid w:val="006C6684"/>
    <w:rsid w:val="006C6BCF"/>
    <w:rsid w:val="006C6E81"/>
    <w:rsid w:val="006D219E"/>
    <w:rsid w:val="006D26B5"/>
    <w:rsid w:val="006D2DEE"/>
    <w:rsid w:val="006D420A"/>
    <w:rsid w:val="006D553C"/>
    <w:rsid w:val="006D6908"/>
    <w:rsid w:val="006D6B22"/>
    <w:rsid w:val="006E4344"/>
    <w:rsid w:val="006E5D45"/>
    <w:rsid w:val="006E6123"/>
    <w:rsid w:val="006E6358"/>
    <w:rsid w:val="006E69C1"/>
    <w:rsid w:val="006F42F8"/>
    <w:rsid w:val="006F53B5"/>
    <w:rsid w:val="006F6D69"/>
    <w:rsid w:val="006F7462"/>
    <w:rsid w:val="00700132"/>
    <w:rsid w:val="00702F53"/>
    <w:rsid w:val="00703E29"/>
    <w:rsid w:val="0070411A"/>
    <w:rsid w:val="00704EED"/>
    <w:rsid w:val="00707527"/>
    <w:rsid w:val="0071102F"/>
    <w:rsid w:val="00712572"/>
    <w:rsid w:val="00713304"/>
    <w:rsid w:val="007138A7"/>
    <w:rsid w:val="007138E6"/>
    <w:rsid w:val="00715DED"/>
    <w:rsid w:val="0072567D"/>
    <w:rsid w:val="007258B1"/>
    <w:rsid w:val="00726A8F"/>
    <w:rsid w:val="00730012"/>
    <w:rsid w:val="007303A5"/>
    <w:rsid w:val="007313FD"/>
    <w:rsid w:val="00732219"/>
    <w:rsid w:val="007324A9"/>
    <w:rsid w:val="007360F2"/>
    <w:rsid w:val="00740988"/>
    <w:rsid w:val="00740AA9"/>
    <w:rsid w:val="00742BAB"/>
    <w:rsid w:val="0074531C"/>
    <w:rsid w:val="007456C7"/>
    <w:rsid w:val="007475E2"/>
    <w:rsid w:val="0075159E"/>
    <w:rsid w:val="00751CB0"/>
    <w:rsid w:val="007530BA"/>
    <w:rsid w:val="00754B42"/>
    <w:rsid w:val="0075511E"/>
    <w:rsid w:val="00755AB7"/>
    <w:rsid w:val="00760C74"/>
    <w:rsid w:val="00764B52"/>
    <w:rsid w:val="00765194"/>
    <w:rsid w:val="007664EE"/>
    <w:rsid w:val="00766608"/>
    <w:rsid w:val="007672B9"/>
    <w:rsid w:val="0077016A"/>
    <w:rsid w:val="007755A3"/>
    <w:rsid w:val="00783237"/>
    <w:rsid w:val="00783EEA"/>
    <w:rsid w:val="00783FAF"/>
    <w:rsid w:val="00792C7B"/>
    <w:rsid w:val="007951BF"/>
    <w:rsid w:val="0079698F"/>
    <w:rsid w:val="007A02EA"/>
    <w:rsid w:val="007A1462"/>
    <w:rsid w:val="007A1765"/>
    <w:rsid w:val="007A1EA2"/>
    <w:rsid w:val="007A4620"/>
    <w:rsid w:val="007A4CF8"/>
    <w:rsid w:val="007A580E"/>
    <w:rsid w:val="007A5EEB"/>
    <w:rsid w:val="007A63DB"/>
    <w:rsid w:val="007B0851"/>
    <w:rsid w:val="007B1BBD"/>
    <w:rsid w:val="007B2222"/>
    <w:rsid w:val="007B40F7"/>
    <w:rsid w:val="007B54AA"/>
    <w:rsid w:val="007C0558"/>
    <w:rsid w:val="007C270D"/>
    <w:rsid w:val="007C28AA"/>
    <w:rsid w:val="007C2908"/>
    <w:rsid w:val="007C3027"/>
    <w:rsid w:val="007C4C7C"/>
    <w:rsid w:val="007C4D82"/>
    <w:rsid w:val="007C5260"/>
    <w:rsid w:val="007C6021"/>
    <w:rsid w:val="007D43E7"/>
    <w:rsid w:val="007D6893"/>
    <w:rsid w:val="007E01D7"/>
    <w:rsid w:val="007E26F1"/>
    <w:rsid w:val="007E46A8"/>
    <w:rsid w:val="007E5D35"/>
    <w:rsid w:val="007F1A07"/>
    <w:rsid w:val="007F1AA2"/>
    <w:rsid w:val="007F23D2"/>
    <w:rsid w:val="007F2DFB"/>
    <w:rsid w:val="007F2F92"/>
    <w:rsid w:val="007F3AEE"/>
    <w:rsid w:val="007F4653"/>
    <w:rsid w:val="007F471F"/>
    <w:rsid w:val="00800893"/>
    <w:rsid w:val="00801DB9"/>
    <w:rsid w:val="00801EFA"/>
    <w:rsid w:val="00803176"/>
    <w:rsid w:val="008037AC"/>
    <w:rsid w:val="00806033"/>
    <w:rsid w:val="00806E59"/>
    <w:rsid w:val="008073A7"/>
    <w:rsid w:val="00807B57"/>
    <w:rsid w:val="00810BF8"/>
    <w:rsid w:val="0081243A"/>
    <w:rsid w:val="00813917"/>
    <w:rsid w:val="00813F09"/>
    <w:rsid w:val="00814CAB"/>
    <w:rsid w:val="0081586E"/>
    <w:rsid w:val="00816032"/>
    <w:rsid w:val="00820210"/>
    <w:rsid w:val="00820C09"/>
    <w:rsid w:val="00821EE5"/>
    <w:rsid w:val="008222E6"/>
    <w:rsid w:val="008224C8"/>
    <w:rsid w:val="00822AA8"/>
    <w:rsid w:val="00823B30"/>
    <w:rsid w:val="008240B5"/>
    <w:rsid w:val="00824D3A"/>
    <w:rsid w:val="008264FB"/>
    <w:rsid w:val="0083010A"/>
    <w:rsid w:val="00831FC0"/>
    <w:rsid w:val="008328FA"/>
    <w:rsid w:val="0083307E"/>
    <w:rsid w:val="0083648C"/>
    <w:rsid w:val="008367F5"/>
    <w:rsid w:val="008442E4"/>
    <w:rsid w:val="00846D95"/>
    <w:rsid w:val="008531D2"/>
    <w:rsid w:val="008573C5"/>
    <w:rsid w:val="00861AE5"/>
    <w:rsid w:val="00862B46"/>
    <w:rsid w:val="00862EC3"/>
    <w:rsid w:val="00865F95"/>
    <w:rsid w:val="0087074B"/>
    <w:rsid w:val="00871507"/>
    <w:rsid w:val="0087601E"/>
    <w:rsid w:val="00876218"/>
    <w:rsid w:val="00876CAD"/>
    <w:rsid w:val="008804AB"/>
    <w:rsid w:val="00882C4D"/>
    <w:rsid w:val="0088305F"/>
    <w:rsid w:val="00884BEA"/>
    <w:rsid w:val="00885291"/>
    <w:rsid w:val="0088596B"/>
    <w:rsid w:val="00890879"/>
    <w:rsid w:val="00894FF1"/>
    <w:rsid w:val="00895C85"/>
    <w:rsid w:val="00895E83"/>
    <w:rsid w:val="008A2795"/>
    <w:rsid w:val="008A2A43"/>
    <w:rsid w:val="008A402C"/>
    <w:rsid w:val="008A5DB4"/>
    <w:rsid w:val="008A5F7E"/>
    <w:rsid w:val="008A6969"/>
    <w:rsid w:val="008A7D7C"/>
    <w:rsid w:val="008B379F"/>
    <w:rsid w:val="008B3809"/>
    <w:rsid w:val="008B5D12"/>
    <w:rsid w:val="008B74D6"/>
    <w:rsid w:val="008C1E16"/>
    <w:rsid w:val="008C2F86"/>
    <w:rsid w:val="008C307D"/>
    <w:rsid w:val="008C441C"/>
    <w:rsid w:val="008C4C7B"/>
    <w:rsid w:val="008C5451"/>
    <w:rsid w:val="008C5DB8"/>
    <w:rsid w:val="008C6594"/>
    <w:rsid w:val="008C6A69"/>
    <w:rsid w:val="008C6EF5"/>
    <w:rsid w:val="008C7C1D"/>
    <w:rsid w:val="008D068D"/>
    <w:rsid w:val="008D0764"/>
    <w:rsid w:val="008D19A4"/>
    <w:rsid w:val="008D27ED"/>
    <w:rsid w:val="008D3A24"/>
    <w:rsid w:val="008D61F2"/>
    <w:rsid w:val="008D75D1"/>
    <w:rsid w:val="008E2909"/>
    <w:rsid w:val="008E371A"/>
    <w:rsid w:val="008E4F0C"/>
    <w:rsid w:val="008E596B"/>
    <w:rsid w:val="008F054A"/>
    <w:rsid w:val="008F15CA"/>
    <w:rsid w:val="008F2ACB"/>
    <w:rsid w:val="008F3D66"/>
    <w:rsid w:val="008F7EB1"/>
    <w:rsid w:val="009003F6"/>
    <w:rsid w:val="00902240"/>
    <w:rsid w:val="00904E4D"/>
    <w:rsid w:val="00913296"/>
    <w:rsid w:val="009154D9"/>
    <w:rsid w:val="0091623C"/>
    <w:rsid w:val="00916FD9"/>
    <w:rsid w:val="009178E3"/>
    <w:rsid w:val="00921DA4"/>
    <w:rsid w:val="00926436"/>
    <w:rsid w:val="009278A1"/>
    <w:rsid w:val="00927CC9"/>
    <w:rsid w:val="009306FE"/>
    <w:rsid w:val="00930785"/>
    <w:rsid w:val="00930E04"/>
    <w:rsid w:val="00931325"/>
    <w:rsid w:val="0093179D"/>
    <w:rsid w:val="00932D84"/>
    <w:rsid w:val="00933ABB"/>
    <w:rsid w:val="00933BFC"/>
    <w:rsid w:val="00937A57"/>
    <w:rsid w:val="00941234"/>
    <w:rsid w:val="0094186D"/>
    <w:rsid w:val="00942575"/>
    <w:rsid w:val="0094357B"/>
    <w:rsid w:val="00945D56"/>
    <w:rsid w:val="00946D24"/>
    <w:rsid w:val="00947FFA"/>
    <w:rsid w:val="00950AAF"/>
    <w:rsid w:val="00951D84"/>
    <w:rsid w:val="00953922"/>
    <w:rsid w:val="00953E08"/>
    <w:rsid w:val="009540D5"/>
    <w:rsid w:val="0095546D"/>
    <w:rsid w:val="00955841"/>
    <w:rsid w:val="0095624A"/>
    <w:rsid w:val="00961884"/>
    <w:rsid w:val="009628E8"/>
    <w:rsid w:val="00966207"/>
    <w:rsid w:val="00966C93"/>
    <w:rsid w:val="00966D57"/>
    <w:rsid w:val="00967711"/>
    <w:rsid w:val="00967785"/>
    <w:rsid w:val="009704A2"/>
    <w:rsid w:val="00970E60"/>
    <w:rsid w:val="009717F8"/>
    <w:rsid w:val="00971E03"/>
    <w:rsid w:val="009722CB"/>
    <w:rsid w:val="00974212"/>
    <w:rsid w:val="0097707A"/>
    <w:rsid w:val="00977AB9"/>
    <w:rsid w:val="00977C25"/>
    <w:rsid w:val="009828C4"/>
    <w:rsid w:val="00983F0D"/>
    <w:rsid w:val="0099345F"/>
    <w:rsid w:val="00997254"/>
    <w:rsid w:val="009A1B98"/>
    <w:rsid w:val="009A240C"/>
    <w:rsid w:val="009A3BF1"/>
    <w:rsid w:val="009A5C7D"/>
    <w:rsid w:val="009A5DAF"/>
    <w:rsid w:val="009A673F"/>
    <w:rsid w:val="009A6874"/>
    <w:rsid w:val="009A7601"/>
    <w:rsid w:val="009B026F"/>
    <w:rsid w:val="009B1286"/>
    <w:rsid w:val="009B3ABD"/>
    <w:rsid w:val="009B7AEF"/>
    <w:rsid w:val="009C16F8"/>
    <w:rsid w:val="009D3111"/>
    <w:rsid w:val="009D334A"/>
    <w:rsid w:val="009D6FBE"/>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A00EF8"/>
    <w:rsid w:val="00A056CC"/>
    <w:rsid w:val="00A06C7A"/>
    <w:rsid w:val="00A10C5C"/>
    <w:rsid w:val="00A11286"/>
    <w:rsid w:val="00A11394"/>
    <w:rsid w:val="00A20428"/>
    <w:rsid w:val="00A2244E"/>
    <w:rsid w:val="00A23612"/>
    <w:rsid w:val="00A23A2C"/>
    <w:rsid w:val="00A24451"/>
    <w:rsid w:val="00A25B82"/>
    <w:rsid w:val="00A3014C"/>
    <w:rsid w:val="00A304A8"/>
    <w:rsid w:val="00A31830"/>
    <w:rsid w:val="00A327AA"/>
    <w:rsid w:val="00A35B61"/>
    <w:rsid w:val="00A3732D"/>
    <w:rsid w:val="00A409D2"/>
    <w:rsid w:val="00A4105C"/>
    <w:rsid w:val="00A41507"/>
    <w:rsid w:val="00A41B30"/>
    <w:rsid w:val="00A41D14"/>
    <w:rsid w:val="00A4206C"/>
    <w:rsid w:val="00A43302"/>
    <w:rsid w:val="00A455B0"/>
    <w:rsid w:val="00A473BE"/>
    <w:rsid w:val="00A47ADF"/>
    <w:rsid w:val="00A47FE3"/>
    <w:rsid w:val="00A515BA"/>
    <w:rsid w:val="00A51842"/>
    <w:rsid w:val="00A52454"/>
    <w:rsid w:val="00A52A9E"/>
    <w:rsid w:val="00A530BC"/>
    <w:rsid w:val="00A5444C"/>
    <w:rsid w:val="00A5503D"/>
    <w:rsid w:val="00A62093"/>
    <w:rsid w:val="00A625EC"/>
    <w:rsid w:val="00A627A0"/>
    <w:rsid w:val="00A670B9"/>
    <w:rsid w:val="00A72546"/>
    <w:rsid w:val="00A74559"/>
    <w:rsid w:val="00A7526A"/>
    <w:rsid w:val="00A75709"/>
    <w:rsid w:val="00A76332"/>
    <w:rsid w:val="00A8232E"/>
    <w:rsid w:val="00A84995"/>
    <w:rsid w:val="00A85E4A"/>
    <w:rsid w:val="00A86143"/>
    <w:rsid w:val="00A86B82"/>
    <w:rsid w:val="00A87A5F"/>
    <w:rsid w:val="00A94E63"/>
    <w:rsid w:val="00A964BD"/>
    <w:rsid w:val="00A979DD"/>
    <w:rsid w:val="00AA1C47"/>
    <w:rsid w:val="00AA3C83"/>
    <w:rsid w:val="00AA5E72"/>
    <w:rsid w:val="00AA6069"/>
    <w:rsid w:val="00AA7102"/>
    <w:rsid w:val="00AB02F5"/>
    <w:rsid w:val="00AB0831"/>
    <w:rsid w:val="00AB1F2F"/>
    <w:rsid w:val="00AB4698"/>
    <w:rsid w:val="00AB6B5F"/>
    <w:rsid w:val="00AC0223"/>
    <w:rsid w:val="00AC0EEE"/>
    <w:rsid w:val="00AC14B1"/>
    <w:rsid w:val="00AC4F9E"/>
    <w:rsid w:val="00AD1B3E"/>
    <w:rsid w:val="00AD1D01"/>
    <w:rsid w:val="00AD2B2A"/>
    <w:rsid w:val="00AD3133"/>
    <w:rsid w:val="00AD3237"/>
    <w:rsid w:val="00AD4E73"/>
    <w:rsid w:val="00AD5304"/>
    <w:rsid w:val="00AD589B"/>
    <w:rsid w:val="00AD70C1"/>
    <w:rsid w:val="00AE16B6"/>
    <w:rsid w:val="00AE24BF"/>
    <w:rsid w:val="00AE3152"/>
    <w:rsid w:val="00AE34ED"/>
    <w:rsid w:val="00AE7837"/>
    <w:rsid w:val="00AF1BCF"/>
    <w:rsid w:val="00AF3530"/>
    <w:rsid w:val="00AF519C"/>
    <w:rsid w:val="00AF6BD7"/>
    <w:rsid w:val="00AF78B6"/>
    <w:rsid w:val="00B00964"/>
    <w:rsid w:val="00B0118B"/>
    <w:rsid w:val="00B02A59"/>
    <w:rsid w:val="00B03079"/>
    <w:rsid w:val="00B03C06"/>
    <w:rsid w:val="00B079F8"/>
    <w:rsid w:val="00B1112F"/>
    <w:rsid w:val="00B12B9F"/>
    <w:rsid w:val="00B1360E"/>
    <w:rsid w:val="00B16066"/>
    <w:rsid w:val="00B16B54"/>
    <w:rsid w:val="00B21775"/>
    <w:rsid w:val="00B220C8"/>
    <w:rsid w:val="00B232A4"/>
    <w:rsid w:val="00B2503F"/>
    <w:rsid w:val="00B25514"/>
    <w:rsid w:val="00B25E55"/>
    <w:rsid w:val="00B27668"/>
    <w:rsid w:val="00B30E28"/>
    <w:rsid w:val="00B37E23"/>
    <w:rsid w:val="00B413F2"/>
    <w:rsid w:val="00B423B7"/>
    <w:rsid w:val="00B46BAB"/>
    <w:rsid w:val="00B47730"/>
    <w:rsid w:val="00B47C6F"/>
    <w:rsid w:val="00B47D6F"/>
    <w:rsid w:val="00B47F45"/>
    <w:rsid w:val="00B50D6B"/>
    <w:rsid w:val="00B523BF"/>
    <w:rsid w:val="00B5278E"/>
    <w:rsid w:val="00B53683"/>
    <w:rsid w:val="00B53A02"/>
    <w:rsid w:val="00B555DE"/>
    <w:rsid w:val="00B6051E"/>
    <w:rsid w:val="00B70394"/>
    <w:rsid w:val="00B72848"/>
    <w:rsid w:val="00B72F06"/>
    <w:rsid w:val="00B73783"/>
    <w:rsid w:val="00B73C2D"/>
    <w:rsid w:val="00B766CC"/>
    <w:rsid w:val="00B76C1C"/>
    <w:rsid w:val="00B82274"/>
    <w:rsid w:val="00B82B7A"/>
    <w:rsid w:val="00B82C84"/>
    <w:rsid w:val="00B84BB2"/>
    <w:rsid w:val="00B85437"/>
    <w:rsid w:val="00B95321"/>
    <w:rsid w:val="00B95C11"/>
    <w:rsid w:val="00B96BA1"/>
    <w:rsid w:val="00B97B6F"/>
    <w:rsid w:val="00B97E3A"/>
    <w:rsid w:val="00BA07DF"/>
    <w:rsid w:val="00BA1185"/>
    <w:rsid w:val="00BA1417"/>
    <w:rsid w:val="00BA14CF"/>
    <w:rsid w:val="00BA17EA"/>
    <w:rsid w:val="00BA230D"/>
    <w:rsid w:val="00BA2515"/>
    <w:rsid w:val="00BA25D9"/>
    <w:rsid w:val="00BA2BC5"/>
    <w:rsid w:val="00BA31C0"/>
    <w:rsid w:val="00BA5867"/>
    <w:rsid w:val="00BA58FD"/>
    <w:rsid w:val="00BA5B70"/>
    <w:rsid w:val="00BA6008"/>
    <w:rsid w:val="00BA7382"/>
    <w:rsid w:val="00BA7EBC"/>
    <w:rsid w:val="00BB0850"/>
    <w:rsid w:val="00BB2FFC"/>
    <w:rsid w:val="00BB3429"/>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E14A3"/>
    <w:rsid w:val="00BE17F4"/>
    <w:rsid w:val="00BE1AF3"/>
    <w:rsid w:val="00BE22B3"/>
    <w:rsid w:val="00BE422C"/>
    <w:rsid w:val="00BE614C"/>
    <w:rsid w:val="00BE67AE"/>
    <w:rsid w:val="00BE6B18"/>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6BF"/>
    <w:rsid w:val="00C17AE0"/>
    <w:rsid w:val="00C3028C"/>
    <w:rsid w:val="00C30D11"/>
    <w:rsid w:val="00C31861"/>
    <w:rsid w:val="00C3330C"/>
    <w:rsid w:val="00C356F5"/>
    <w:rsid w:val="00C3656A"/>
    <w:rsid w:val="00C36CB8"/>
    <w:rsid w:val="00C415DA"/>
    <w:rsid w:val="00C446BC"/>
    <w:rsid w:val="00C448F8"/>
    <w:rsid w:val="00C44970"/>
    <w:rsid w:val="00C44CAA"/>
    <w:rsid w:val="00C455D0"/>
    <w:rsid w:val="00C4655E"/>
    <w:rsid w:val="00C47C71"/>
    <w:rsid w:val="00C50EFF"/>
    <w:rsid w:val="00C52357"/>
    <w:rsid w:val="00C525BD"/>
    <w:rsid w:val="00C52D17"/>
    <w:rsid w:val="00C53580"/>
    <w:rsid w:val="00C5731A"/>
    <w:rsid w:val="00C57A49"/>
    <w:rsid w:val="00C6058E"/>
    <w:rsid w:val="00C60C47"/>
    <w:rsid w:val="00C62536"/>
    <w:rsid w:val="00C6371D"/>
    <w:rsid w:val="00C6533B"/>
    <w:rsid w:val="00C65853"/>
    <w:rsid w:val="00C65A02"/>
    <w:rsid w:val="00C66BB5"/>
    <w:rsid w:val="00C67A0D"/>
    <w:rsid w:val="00C740AB"/>
    <w:rsid w:val="00C7509C"/>
    <w:rsid w:val="00C76965"/>
    <w:rsid w:val="00C76AE5"/>
    <w:rsid w:val="00C81131"/>
    <w:rsid w:val="00C81E8F"/>
    <w:rsid w:val="00C823B5"/>
    <w:rsid w:val="00C823BD"/>
    <w:rsid w:val="00C823C0"/>
    <w:rsid w:val="00C82ADF"/>
    <w:rsid w:val="00C85898"/>
    <w:rsid w:val="00C85B23"/>
    <w:rsid w:val="00C85DFC"/>
    <w:rsid w:val="00C87D04"/>
    <w:rsid w:val="00C87EFC"/>
    <w:rsid w:val="00C914B2"/>
    <w:rsid w:val="00C91CF9"/>
    <w:rsid w:val="00C93E0F"/>
    <w:rsid w:val="00C96AA0"/>
    <w:rsid w:val="00C96B4E"/>
    <w:rsid w:val="00C9754C"/>
    <w:rsid w:val="00CA0CE1"/>
    <w:rsid w:val="00CA1153"/>
    <w:rsid w:val="00CA40B0"/>
    <w:rsid w:val="00CA5413"/>
    <w:rsid w:val="00CA5963"/>
    <w:rsid w:val="00CA5F3C"/>
    <w:rsid w:val="00CA5FB8"/>
    <w:rsid w:val="00CA6285"/>
    <w:rsid w:val="00CA62D8"/>
    <w:rsid w:val="00CB23BD"/>
    <w:rsid w:val="00CB36B9"/>
    <w:rsid w:val="00CB3998"/>
    <w:rsid w:val="00CB5618"/>
    <w:rsid w:val="00CB577A"/>
    <w:rsid w:val="00CC290D"/>
    <w:rsid w:val="00CC483E"/>
    <w:rsid w:val="00CD0519"/>
    <w:rsid w:val="00CD09B1"/>
    <w:rsid w:val="00CD2075"/>
    <w:rsid w:val="00CD3E21"/>
    <w:rsid w:val="00CD4E82"/>
    <w:rsid w:val="00CD500E"/>
    <w:rsid w:val="00CD5F14"/>
    <w:rsid w:val="00CD6A04"/>
    <w:rsid w:val="00CE374C"/>
    <w:rsid w:val="00CE4A6D"/>
    <w:rsid w:val="00CE5795"/>
    <w:rsid w:val="00CE63C1"/>
    <w:rsid w:val="00CF1E4D"/>
    <w:rsid w:val="00CF2A56"/>
    <w:rsid w:val="00CF44E4"/>
    <w:rsid w:val="00CF46A3"/>
    <w:rsid w:val="00CF5FE7"/>
    <w:rsid w:val="00D07067"/>
    <w:rsid w:val="00D075AA"/>
    <w:rsid w:val="00D10370"/>
    <w:rsid w:val="00D11861"/>
    <w:rsid w:val="00D11D57"/>
    <w:rsid w:val="00D13748"/>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47561"/>
    <w:rsid w:val="00D526AB"/>
    <w:rsid w:val="00D56390"/>
    <w:rsid w:val="00D564D7"/>
    <w:rsid w:val="00D5664C"/>
    <w:rsid w:val="00D578DE"/>
    <w:rsid w:val="00D605E6"/>
    <w:rsid w:val="00D62577"/>
    <w:rsid w:val="00D62CAD"/>
    <w:rsid w:val="00D6300E"/>
    <w:rsid w:val="00D662D3"/>
    <w:rsid w:val="00D6663F"/>
    <w:rsid w:val="00D6718D"/>
    <w:rsid w:val="00D67AAC"/>
    <w:rsid w:val="00D70021"/>
    <w:rsid w:val="00D70156"/>
    <w:rsid w:val="00D72C3E"/>
    <w:rsid w:val="00D72E1C"/>
    <w:rsid w:val="00D74508"/>
    <w:rsid w:val="00D75432"/>
    <w:rsid w:val="00D776E0"/>
    <w:rsid w:val="00D81B90"/>
    <w:rsid w:val="00D83B77"/>
    <w:rsid w:val="00D83E3D"/>
    <w:rsid w:val="00D84631"/>
    <w:rsid w:val="00D9330E"/>
    <w:rsid w:val="00D96F13"/>
    <w:rsid w:val="00D97EEB"/>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BD7"/>
    <w:rsid w:val="00DC678B"/>
    <w:rsid w:val="00DD0F39"/>
    <w:rsid w:val="00DD1C1A"/>
    <w:rsid w:val="00DD1D73"/>
    <w:rsid w:val="00DD24C7"/>
    <w:rsid w:val="00DD2C71"/>
    <w:rsid w:val="00DD3285"/>
    <w:rsid w:val="00DD402D"/>
    <w:rsid w:val="00DD5114"/>
    <w:rsid w:val="00DD63D0"/>
    <w:rsid w:val="00DD6882"/>
    <w:rsid w:val="00DE1E8E"/>
    <w:rsid w:val="00DE4050"/>
    <w:rsid w:val="00DE6293"/>
    <w:rsid w:val="00DE6C13"/>
    <w:rsid w:val="00DE71AD"/>
    <w:rsid w:val="00DE7685"/>
    <w:rsid w:val="00DF0B58"/>
    <w:rsid w:val="00DF13E9"/>
    <w:rsid w:val="00DF3259"/>
    <w:rsid w:val="00DF3935"/>
    <w:rsid w:val="00DF5923"/>
    <w:rsid w:val="00E00586"/>
    <w:rsid w:val="00E03013"/>
    <w:rsid w:val="00E05768"/>
    <w:rsid w:val="00E06E01"/>
    <w:rsid w:val="00E07261"/>
    <w:rsid w:val="00E1299C"/>
    <w:rsid w:val="00E150F0"/>
    <w:rsid w:val="00E163F5"/>
    <w:rsid w:val="00E16C03"/>
    <w:rsid w:val="00E16CF4"/>
    <w:rsid w:val="00E17AAA"/>
    <w:rsid w:val="00E17F8B"/>
    <w:rsid w:val="00E2023C"/>
    <w:rsid w:val="00E254DE"/>
    <w:rsid w:val="00E279C7"/>
    <w:rsid w:val="00E27F47"/>
    <w:rsid w:val="00E337B2"/>
    <w:rsid w:val="00E36046"/>
    <w:rsid w:val="00E368C1"/>
    <w:rsid w:val="00E42686"/>
    <w:rsid w:val="00E45713"/>
    <w:rsid w:val="00E46F22"/>
    <w:rsid w:val="00E5141A"/>
    <w:rsid w:val="00E525EF"/>
    <w:rsid w:val="00E52B61"/>
    <w:rsid w:val="00E542ED"/>
    <w:rsid w:val="00E551C4"/>
    <w:rsid w:val="00E5608B"/>
    <w:rsid w:val="00E564F8"/>
    <w:rsid w:val="00E57237"/>
    <w:rsid w:val="00E57487"/>
    <w:rsid w:val="00E5797A"/>
    <w:rsid w:val="00E64429"/>
    <w:rsid w:val="00E65054"/>
    <w:rsid w:val="00E6534B"/>
    <w:rsid w:val="00E66780"/>
    <w:rsid w:val="00E6678D"/>
    <w:rsid w:val="00E705B8"/>
    <w:rsid w:val="00E711DA"/>
    <w:rsid w:val="00E7715F"/>
    <w:rsid w:val="00E773DC"/>
    <w:rsid w:val="00E810AC"/>
    <w:rsid w:val="00E828AC"/>
    <w:rsid w:val="00E87A46"/>
    <w:rsid w:val="00E87CC3"/>
    <w:rsid w:val="00E91098"/>
    <w:rsid w:val="00E9210B"/>
    <w:rsid w:val="00EA3AE2"/>
    <w:rsid w:val="00EA4CD3"/>
    <w:rsid w:val="00EA4FFB"/>
    <w:rsid w:val="00EA6164"/>
    <w:rsid w:val="00EA7A01"/>
    <w:rsid w:val="00EA7CCD"/>
    <w:rsid w:val="00EB154B"/>
    <w:rsid w:val="00EB234D"/>
    <w:rsid w:val="00EB51F0"/>
    <w:rsid w:val="00EB5C44"/>
    <w:rsid w:val="00EB5FE0"/>
    <w:rsid w:val="00EB699D"/>
    <w:rsid w:val="00EC185B"/>
    <w:rsid w:val="00EC428E"/>
    <w:rsid w:val="00EC50AD"/>
    <w:rsid w:val="00ED0449"/>
    <w:rsid w:val="00ED1087"/>
    <w:rsid w:val="00ED5A7B"/>
    <w:rsid w:val="00ED769C"/>
    <w:rsid w:val="00EE1C35"/>
    <w:rsid w:val="00EE2292"/>
    <w:rsid w:val="00EE372B"/>
    <w:rsid w:val="00EE4651"/>
    <w:rsid w:val="00EE59E7"/>
    <w:rsid w:val="00EE7822"/>
    <w:rsid w:val="00EE7ED0"/>
    <w:rsid w:val="00EF09B7"/>
    <w:rsid w:val="00EF16B0"/>
    <w:rsid w:val="00EF18F6"/>
    <w:rsid w:val="00EF6CA7"/>
    <w:rsid w:val="00EF7B9C"/>
    <w:rsid w:val="00F00F7F"/>
    <w:rsid w:val="00F02848"/>
    <w:rsid w:val="00F03447"/>
    <w:rsid w:val="00F0426D"/>
    <w:rsid w:val="00F05B1C"/>
    <w:rsid w:val="00F05F94"/>
    <w:rsid w:val="00F119AC"/>
    <w:rsid w:val="00F12B7F"/>
    <w:rsid w:val="00F135AB"/>
    <w:rsid w:val="00F14B55"/>
    <w:rsid w:val="00F154D3"/>
    <w:rsid w:val="00F15DF3"/>
    <w:rsid w:val="00F16609"/>
    <w:rsid w:val="00F20121"/>
    <w:rsid w:val="00F2023C"/>
    <w:rsid w:val="00F20512"/>
    <w:rsid w:val="00F23425"/>
    <w:rsid w:val="00F23596"/>
    <w:rsid w:val="00F244D4"/>
    <w:rsid w:val="00F26062"/>
    <w:rsid w:val="00F330F8"/>
    <w:rsid w:val="00F33EA5"/>
    <w:rsid w:val="00F350B8"/>
    <w:rsid w:val="00F378BC"/>
    <w:rsid w:val="00F37EDA"/>
    <w:rsid w:val="00F4014E"/>
    <w:rsid w:val="00F41415"/>
    <w:rsid w:val="00F437CD"/>
    <w:rsid w:val="00F4394B"/>
    <w:rsid w:val="00F447D2"/>
    <w:rsid w:val="00F44A63"/>
    <w:rsid w:val="00F44EFB"/>
    <w:rsid w:val="00F45334"/>
    <w:rsid w:val="00F47327"/>
    <w:rsid w:val="00F476B3"/>
    <w:rsid w:val="00F477AC"/>
    <w:rsid w:val="00F479E9"/>
    <w:rsid w:val="00F51A25"/>
    <w:rsid w:val="00F52FDD"/>
    <w:rsid w:val="00F533E4"/>
    <w:rsid w:val="00F5587C"/>
    <w:rsid w:val="00F56CFF"/>
    <w:rsid w:val="00F57183"/>
    <w:rsid w:val="00F600C5"/>
    <w:rsid w:val="00F618BE"/>
    <w:rsid w:val="00F62F7C"/>
    <w:rsid w:val="00F64C77"/>
    <w:rsid w:val="00F6669E"/>
    <w:rsid w:val="00F666D6"/>
    <w:rsid w:val="00F67D23"/>
    <w:rsid w:val="00F7320A"/>
    <w:rsid w:val="00F74046"/>
    <w:rsid w:val="00F74248"/>
    <w:rsid w:val="00F74414"/>
    <w:rsid w:val="00F75D20"/>
    <w:rsid w:val="00F80FF3"/>
    <w:rsid w:val="00F8537E"/>
    <w:rsid w:val="00F87EFB"/>
    <w:rsid w:val="00F90C71"/>
    <w:rsid w:val="00F91F35"/>
    <w:rsid w:val="00F922A6"/>
    <w:rsid w:val="00F94792"/>
    <w:rsid w:val="00F95401"/>
    <w:rsid w:val="00F96A74"/>
    <w:rsid w:val="00FA2572"/>
    <w:rsid w:val="00FA28FE"/>
    <w:rsid w:val="00FA4372"/>
    <w:rsid w:val="00FA5CE2"/>
    <w:rsid w:val="00FB0403"/>
    <w:rsid w:val="00FB33C3"/>
    <w:rsid w:val="00FB3EA5"/>
    <w:rsid w:val="00FB5F54"/>
    <w:rsid w:val="00FB6C04"/>
    <w:rsid w:val="00FC4C29"/>
    <w:rsid w:val="00FD1625"/>
    <w:rsid w:val="00FD1905"/>
    <w:rsid w:val="00FD20A5"/>
    <w:rsid w:val="00FD3374"/>
    <w:rsid w:val="00FD41F6"/>
    <w:rsid w:val="00FD7736"/>
    <w:rsid w:val="00FE102D"/>
    <w:rsid w:val="00FE1CA2"/>
    <w:rsid w:val="00FE4655"/>
    <w:rsid w:val="00FE46A9"/>
    <w:rsid w:val="00FE4A6A"/>
    <w:rsid w:val="00FE6863"/>
    <w:rsid w:val="00FF1D89"/>
    <w:rsid w:val="00FF1E2E"/>
    <w:rsid w:val="00FF22CF"/>
    <w:rsid w:val="00FF25FD"/>
    <w:rsid w:val="00FF2991"/>
    <w:rsid w:val="00FF4DF1"/>
    <w:rsid w:val="00FF5B20"/>
    <w:rsid w:val="00FF5D8D"/>
    <w:rsid w:val="260E1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Document Map"/>
    <w:basedOn w:val="1"/>
    <w:link w:val="21"/>
    <w:semiHidden/>
    <w:unhideWhenUsed/>
    <w:uiPriority w:val="99"/>
    <w:rPr>
      <w:rFonts w:ascii="宋体" w:eastAsia="宋体"/>
      <w:sz w:val="18"/>
      <w:szCs w:val="18"/>
    </w:rPr>
  </w:style>
  <w:style w:type="paragraph" w:styleId="5">
    <w:name w:val="annotation text"/>
    <w:basedOn w:val="1"/>
    <w:link w:val="29"/>
    <w:unhideWhenUsed/>
    <w:qFormat/>
    <w:uiPriority w:val="99"/>
    <w:pPr>
      <w:jc w:val="left"/>
    </w:pPr>
  </w:style>
  <w:style w:type="paragraph" w:styleId="6">
    <w:name w:val="Balloon Text"/>
    <w:basedOn w:val="1"/>
    <w:link w:val="14"/>
    <w:semiHidden/>
    <w:unhideWhenUsed/>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31"/>
    <w:semiHidden/>
    <w:unhideWhenUsed/>
    <w:uiPriority w:val="99"/>
    <w:rPr>
      <w:b/>
      <w:bCs/>
    </w:rPr>
  </w:style>
  <w:style w:type="table" w:styleId="11">
    <w:name w:val="Table Grid"/>
    <w:basedOn w:val="1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annotation reference"/>
    <w:basedOn w:val="12"/>
    <w:semiHidden/>
    <w:unhideWhenUsed/>
    <w:qFormat/>
    <w:uiPriority w:val="99"/>
    <w:rPr>
      <w:sz w:val="21"/>
      <w:szCs w:val="21"/>
    </w:rPr>
  </w:style>
  <w:style w:type="character" w:customStyle="1" w:styleId="14">
    <w:name w:val="批注框文本 Char"/>
    <w:basedOn w:val="12"/>
    <w:link w:val="6"/>
    <w:semiHidden/>
    <w:uiPriority w:val="99"/>
    <w:rPr>
      <w:sz w:val="18"/>
      <w:szCs w:val="18"/>
    </w:rPr>
  </w:style>
  <w:style w:type="character" w:customStyle="1" w:styleId="15">
    <w:name w:val="标题 1 Char"/>
    <w:basedOn w:val="12"/>
    <w:link w:val="2"/>
    <w:qFormat/>
    <w:uiPriority w:val="9"/>
    <w:rPr>
      <w:b/>
      <w:bCs/>
      <w:kern w:val="44"/>
      <w:sz w:val="44"/>
      <w:szCs w:val="44"/>
    </w:rPr>
  </w:style>
  <w:style w:type="paragraph" w:styleId="16">
    <w:name w:val="List Paragraph"/>
    <w:basedOn w:val="1"/>
    <w:qFormat/>
    <w:uiPriority w:val="34"/>
    <w:pPr>
      <w:ind w:firstLine="420" w:firstLineChars="200"/>
    </w:pPr>
  </w:style>
  <w:style w:type="character" w:styleId="17">
    <w:name w:val="Placeholder Text"/>
    <w:basedOn w:val="12"/>
    <w:semiHidden/>
    <w:qFormat/>
    <w:uiPriority w:val="99"/>
    <w:rPr>
      <w:color w:val="auto"/>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99"/>
    <w:rPr>
      <w:sz w:val="18"/>
      <w:szCs w:val="18"/>
    </w:rPr>
  </w:style>
  <w:style w:type="character" w:customStyle="1" w:styleId="20">
    <w:name w:val="标题 2 Char"/>
    <w:basedOn w:val="12"/>
    <w:link w:val="3"/>
    <w:qFormat/>
    <w:uiPriority w:val="9"/>
    <w:rPr>
      <w:rFonts w:asciiTheme="majorHAnsi" w:hAnsiTheme="majorHAnsi" w:eastAsiaTheme="majorEastAsia" w:cstheme="majorBidi"/>
      <w:b/>
      <w:bCs/>
      <w:sz w:val="32"/>
      <w:szCs w:val="32"/>
    </w:rPr>
  </w:style>
  <w:style w:type="character" w:customStyle="1" w:styleId="21">
    <w:name w:val="文档结构图 Char"/>
    <w:basedOn w:val="12"/>
    <w:link w:val="4"/>
    <w:semiHidden/>
    <w:qFormat/>
    <w:uiPriority w:val="99"/>
    <w:rPr>
      <w:rFonts w:ascii="宋体" w:eastAsia="宋体"/>
      <w:sz w:val="18"/>
      <w:szCs w:val="18"/>
    </w:rPr>
  </w:style>
  <w:style w:type="character" w:customStyle="1" w:styleId="22">
    <w:name w:val="样式1"/>
    <w:qFormat/>
    <w:uiPriority w:val="1"/>
  </w:style>
  <w:style w:type="character" w:customStyle="1" w:styleId="23">
    <w:name w:val="样式2"/>
    <w:basedOn w:val="22"/>
    <w:uiPriority w:val="1"/>
  </w:style>
  <w:style w:type="character" w:customStyle="1" w:styleId="24">
    <w:name w:val="样式3"/>
    <w:basedOn w:val="22"/>
    <w:qFormat/>
    <w:uiPriority w:val="1"/>
  </w:style>
  <w:style w:type="character" w:customStyle="1" w:styleId="25">
    <w:name w:val="样式4"/>
    <w:basedOn w:val="22"/>
    <w:qFormat/>
    <w:uiPriority w:val="1"/>
  </w:style>
  <w:style w:type="character" w:customStyle="1" w:styleId="26">
    <w:name w:val="样式5"/>
    <w:basedOn w:val="22"/>
    <w:qFormat/>
    <w:uiPriority w:val="1"/>
  </w:style>
  <w:style w:type="character" w:customStyle="1" w:styleId="27">
    <w:name w:val="样式6"/>
    <w:basedOn w:val="25"/>
    <w:qFormat/>
    <w:uiPriority w:val="1"/>
  </w:style>
  <w:style w:type="character" w:customStyle="1" w:styleId="28">
    <w:name w:val="样式7"/>
    <w:basedOn w:val="25"/>
    <w:qFormat/>
    <w:uiPriority w:val="1"/>
  </w:style>
  <w:style w:type="character" w:customStyle="1" w:styleId="29">
    <w:name w:val="批注文字 Char"/>
    <w:basedOn w:val="12"/>
    <w:link w:val="5"/>
    <w:qFormat/>
    <w:uiPriority w:val="99"/>
  </w:style>
  <w:style w:type="paragraph" w:customStyle="1" w:styleId="30">
    <w:name w:val="p0"/>
    <w:basedOn w:val="1"/>
    <w:qFormat/>
    <w:uiPriority w:val="0"/>
    <w:pPr>
      <w:widowControl/>
    </w:pPr>
    <w:rPr>
      <w:rFonts w:ascii="Book Antiqua" w:hAnsi="Book Antiqua" w:eastAsia="宋体" w:cs="宋体"/>
      <w:kern w:val="0"/>
      <w:sz w:val="24"/>
      <w:szCs w:val="24"/>
    </w:rPr>
  </w:style>
  <w:style w:type="character" w:customStyle="1" w:styleId="31">
    <w:name w:val="批注主题 Char"/>
    <w:basedOn w:val="29"/>
    <w:link w:val="9"/>
    <w:semiHidden/>
    <w:qFormat/>
    <w:uiPriority w:val="99"/>
    <w:rPr>
      <w:b/>
      <w:bCs/>
    </w:rPr>
  </w:style>
  <w:style w:type="table" w:customStyle="1" w:styleId="32">
    <w:name w:val="网格型1"/>
    <w:basedOn w:val="10"/>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网格型2"/>
    <w:basedOn w:val="10"/>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4.xml"/><Relationship Id="rId6" Type="http://schemas.openxmlformats.org/officeDocument/2006/relationships/customXml" Target="../customXml/item3.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60007663\AppData\Roaming\Kingsoft\office6\templates\wps\zh_CN\SSEReport.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4.xml><?xml version="1.0" encoding="utf-8"?>
<t:template xmlns:t="http://mapping.word.org/2012/template">
  <t:sse><![CDATA[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]]></t:sse>
</t:template>
</file>

<file path=customXml/itemProps1.xml><?xml version="1.0" encoding="utf-8"?>
<ds:datastoreItem xmlns:ds="http://schemas.openxmlformats.org/officeDocument/2006/customXml" ds:itemID="{BA98B501-917D-472D-AC19-F30F1EB82784}">
  <ds:schemaRefs/>
</ds:datastoreItem>
</file>

<file path=customXml/itemProps2.xml><?xml version="1.0" encoding="utf-8"?>
<ds:datastoreItem xmlns:ds="http://schemas.openxmlformats.org/officeDocument/2006/customXml" ds:itemID="{E12CACDC-F096-468C-A6C3-A97861169A40}">
  <ds:schemaRefs/>
</ds:datastoreItem>
</file>

<file path=customXml/itemProps3.xml><?xml version="1.0" encoding="utf-8"?>
<ds:datastoreItem xmlns:ds="http://schemas.openxmlformats.org/officeDocument/2006/customXml" ds:itemID="{8C5FB611-3F39-43CA-9A1B-12A6A24AA9EB}">
  <ds:schemaRefs/>
</ds:datastoreItem>
</file>

<file path=customXml/itemProps4.xml><?xml version="1.0" encoding="utf-8"?>
<ds:datastoreItem xmlns:ds="http://schemas.openxmlformats.org/officeDocument/2006/customXml" ds:itemID="{9b5adda4-3d66-49f4-82b6-8be66edfd155}">
  <ds:schemaRefs/>
</ds:datastoreItem>
</file>

<file path=docProps/app.xml><?xml version="1.0" encoding="utf-8"?>
<Properties xmlns="http://schemas.openxmlformats.org/officeDocument/2006/extended-properties" xmlns:vt="http://schemas.openxmlformats.org/officeDocument/2006/docPropsVTypes">
  <Template>SSEReport.dotm</Template>
  <Pages>4</Pages>
  <Words>650</Words>
  <Characters>3642</Characters>
  <Lines>106</Lines>
  <Paragraphs>44</Paragraphs>
  <TotalTime>160</TotalTime>
  <ScaleCrop>false</ScaleCrop>
  <LinksUpToDate>false</LinksUpToDate>
  <CharactersWithSpaces>4289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2026-10-12T06:21:00Z</dcterms:created>
  <dc:creator>yangzhiquan</dc:creator>
  <cp:lastModifiedBy>CC</cp:lastModifiedBy>
  <dcterms:modified xsi:type="dcterms:W3CDTF">2026-10-25T07:19:07Z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eyJoZGlkIjoiNGE1Nzk2ZTkxYmY3MjcxZGQ5ZGVhZjBhZDYwMzA5MzYiLCJ1c2VySWQiOiIzMTU3OTY3NDEifQ==</vt:lpwstr>
  </property>
  <property fmtid="{D5CDD505-2E9C-101B-9397-08002B2CF9AE}" pid="3" name="KSOProductBuildVer">
    <vt:lpwstr>2052-12.1.0.29161</vt:lpwstr>
  </property>
  <property fmtid="{D5CDD505-2E9C-101B-9397-08002B2CF9AE}" pid="4" name="ICV">
    <vt:lpwstr>6F12456CDEF345E29CCFCB8940E8CCC2_13</vt:lpwstr>
  </property>
</Properties>
</file>